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20E" w:rsidRDefault="0075020E" w:rsidP="00990442">
      <w:pPr>
        <w:pStyle w:val="Title"/>
        <w:spacing w:line="320" w:lineRule="atLeast"/>
        <w:rPr>
          <w:sz w:val="32"/>
          <w:szCs w:val="32"/>
        </w:rPr>
      </w:pPr>
    </w:p>
    <w:p w:rsidR="0075020E" w:rsidRPr="00990442" w:rsidRDefault="0075020E" w:rsidP="00990442">
      <w:pPr>
        <w:pStyle w:val="Title"/>
        <w:spacing w:line="320" w:lineRule="atLeast"/>
        <w:rPr>
          <w:sz w:val="32"/>
          <w:szCs w:val="32"/>
        </w:rPr>
      </w:pPr>
      <w:r w:rsidRPr="00990442">
        <w:rPr>
          <w:sz w:val="32"/>
          <w:szCs w:val="32"/>
        </w:rPr>
        <w:t>QUY TẮC BẢO HIỂM MỌI RỦI RO TÀI SẢN</w:t>
      </w:r>
    </w:p>
    <w:p w:rsidR="0075020E" w:rsidRPr="00990442" w:rsidRDefault="0075020E" w:rsidP="00990442">
      <w:pPr>
        <w:spacing w:before="0" w:after="0" w:line="320" w:lineRule="atLeast"/>
        <w:jc w:val="center"/>
        <w:rPr>
          <w:i/>
          <w:iCs/>
          <w:sz w:val="24"/>
        </w:rPr>
      </w:pPr>
      <w:r w:rsidRPr="00990442">
        <w:rPr>
          <w:i/>
          <w:iCs/>
          <w:sz w:val="24"/>
        </w:rPr>
        <w:t xml:space="preserve"> (Ban hành kèm theo Quyết định số: 726/2013/QĐ/TSC/TGĐ ngày 10/09/2013  </w:t>
      </w:r>
    </w:p>
    <w:p w:rsidR="0075020E" w:rsidRPr="00990442" w:rsidRDefault="0075020E" w:rsidP="00990442">
      <w:pPr>
        <w:spacing w:before="0" w:after="0" w:line="320" w:lineRule="atLeast"/>
        <w:jc w:val="center"/>
        <w:rPr>
          <w:i/>
          <w:iCs/>
          <w:sz w:val="24"/>
        </w:rPr>
      </w:pPr>
      <w:r w:rsidRPr="00990442">
        <w:rPr>
          <w:i/>
          <w:iCs/>
          <w:sz w:val="24"/>
        </w:rPr>
        <w:t>của Tổng Giám đốc Tổng Công ty Cổ phần Bảo hiểm Petrolimex)</w:t>
      </w:r>
    </w:p>
    <w:p w:rsidR="0075020E" w:rsidRPr="00990442" w:rsidRDefault="0075020E" w:rsidP="00936C6D">
      <w:pPr>
        <w:spacing w:before="360" w:after="0" w:line="320" w:lineRule="atLeast"/>
        <w:rPr>
          <w:sz w:val="24"/>
          <w:lang w:val="pt-BR"/>
        </w:rPr>
      </w:pPr>
      <w:r w:rsidRPr="00990442">
        <w:rPr>
          <w:sz w:val="24"/>
          <w:lang w:val="pt-BR"/>
        </w:rPr>
        <w:t xml:space="preserve">Trên cơ sở những điều kiện, điều khoản và các điểm loại trừ trong Quy tắc bảo hiểm này hoặc các sửa đổi bổ sung khác kèm theo bộ hợp đồng bảo hiểm này (những điều kiện, điều khoản và  điểm loại trừ này do tính chất của chúng được coi là những điều kiện tiên quyết để Người được bảo hiểm có quyền được bồi thường theo bộ hợp đồng bảo hiểm này), </w:t>
      </w:r>
      <w:r w:rsidRPr="00990442">
        <w:rPr>
          <w:b/>
          <w:sz w:val="24"/>
          <w:lang w:val="pt-BR"/>
        </w:rPr>
        <w:t>Tổng Công ty Cổ phần Bảo hiểm Petrolimex</w:t>
      </w:r>
      <w:r w:rsidRPr="00990442">
        <w:rPr>
          <w:sz w:val="24"/>
          <w:lang w:val="pt-BR"/>
        </w:rPr>
        <w:t xml:space="preserve"> (dưới đây gọi tắt là PJICO) đồng ý rằng nếu sau khi Người được bảo hiểm đã thực hiện thanh toán phí theo đúng thời hạn ghi trên Giấy chứng nhận bảo hiểm (GCNBH)/Hợp đồng bảo hiểm và/hoặc thông báo thu phí, gia hạn nợ phí mà bất kỳ tài sản được bảo hiểm nào bị mất mát, phá huỷ hay hư hại về vật chất một cách bất ngờ do bất kỳ nguyên nhân nào không bị loại trừ cụ thể dưới đây gây ra vào bất kỳ thời gian nào trước 4 giờ chiều ngày cuối cùng của thời hạn bảo hiểm hoặc trong bất kỳ thời hạn nào tiếp theo mà Người được bảo hiểm đã nộp phí và PJICO đã chấp nhận khoản phí bảo hiểm đó để gia hạn tiếp cho bộ Hợp đồng bảo hiểm này</w:t>
      </w:r>
    </w:p>
    <w:p w:rsidR="0075020E" w:rsidRPr="00990442" w:rsidRDefault="0075020E" w:rsidP="00990442">
      <w:pPr>
        <w:pStyle w:val="BodyTextIndent"/>
        <w:spacing w:before="120" w:after="0" w:line="320" w:lineRule="atLeast"/>
        <w:rPr>
          <w:rFonts w:ascii="Times New Roman" w:hAnsi="Times New Roman" w:cs="Times New Roman"/>
          <w:sz w:val="24"/>
          <w:lang w:val="pt-BR"/>
        </w:rPr>
      </w:pPr>
      <w:r w:rsidRPr="00990442">
        <w:rPr>
          <w:rFonts w:ascii="Times New Roman" w:hAnsi="Times New Roman" w:cs="Times New Roman"/>
          <w:sz w:val="24"/>
          <w:lang w:val="pt-BR"/>
        </w:rPr>
        <w:t>PJICO sẽ bồi thường cho Người được bảo hiểm giá trị của tài sản tại thời điểm xảy ra thiệt hại, mất mát hay phá huỷ về vật chất một cách bất ngờ đối với tài sản đó hoặc giá trị bị thiệt hại đó (sau đây những mất mát, phá hủy hay thiệt hại vật chất một cách bất ngờ được gọi chung là Thiệt hại) hoặc tùy theo sự lựa chọn của mình, PJICO có thể phục hồi hay thay thế một phần hoặc toàn bộ tài sản bị tổn thất</w:t>
      </w:r>
    </w:p>
    <w:p w:rsidR="0075020E" w:rsidRPr="00990442" w:rsidRDefault="0075020E" w:rsidP="00990442">
      <w:pPr>
        <w:spacing w:after="0" w:line="320" w:lineRule="atLeast"/>
        <w:rPr>
          <w:sz w:val="24"/>
          <w:lang w:val="pt-BR"/>
        </w:rPr>
      </w:pPr>
      <w:r w:rsidRPr="00990442">
        <w:rPr>
          <w:sz w:val="24"/>
          <w:lang w:val="pt-BR"/>
        </w:rPr>
        <w:t>Với điều kiện là trong mọi trường hợp, trách nhiệm của PJICO đối với mỗi vụ tổn thất hoặc tổng số vụ tổn thất trong thời hạn bảo hiểm cũng không vượt quá:</w:t>
      </w:r>
    </w:p>
    <w:p w:rsidR="0075020E" w:rsidRPr="00990442" w:rsidRDefault="0075020E" w:rsidP="00990442">
      <w:pPr>
        <w:numPr>
          <w:ilvl w:val="0"/>
          <w:numId w:val="1"/>
        </w:numPr>
        <w:tabs>
          <w:tab w:val="clear" w:pos="720"/>
          <w:tab w:val="left" w:pos="567"/>
        </w:tabs>
        <w:spacing w:after="0" w:line="320" w:lineRule="atLeast"/>
        <w:ind w:left="562" w:hanging="562"/>
        <w:rPr>
          <w:sz w:val="24"/>
        </w:rPr>
      </w:pPr>
      <w:r w:rsidRPr="00990442">
        <w:rPr>
          <w:sz w:val="24"/>
        </w:rPr>
        <w:t>tổng số tiền bảo hiểm hoặc số tiền bảo hiểm tương ứng với mỗi hạng mục tài sản được kê khai trong GCNBH/Hợp đồng bảo hiểm.</w:t>
      </w:r>
    </w:p>
    <w:p w:rsidR="0075020E" w:rsidRPr="00990442" w:rsidRDefault="0075020E" w:rsidP="00990442">
      <w:pPr>
        <w:numPr>
          <w:ilvl w:val="0"/>
          <w:numId w:val="1"/>
        </w:numPr>
        <w:tabs>
          <w:tab w:val="clear" w:pos="720"/>
          <w:tab w:val="left" w:pos="567"/>
        </w:tabs>
        <w:spacing w:after="0" w:line="320" w:lineRule="atLeast"/>
        <w:ind w:left="562" w:hanging="562"/>
        <w:rPr>
          <w:sz w:val="24"/>
        </w:rPr>
      </w:pPr>
      <w:r w:rsidRPr="00990442">
        <w:rPr>
          <w:sz w:val="24"/>
        </w:rPr>
        <w:t>bất kỳ hạn mức bồi thường nào nêu trong GCNBH/Hợp đồng bảo hiểm.</w:t>
      </w:r>
    </w:p>
    <w:p w:rsidR="0075020E" w:rsidRPr="00990442" w:rsidRDefault="0075020E" w:rsidP="00990442">
      <w:pPr>
        <w:tabs>
          <w:tab w:val="left" w:pos="567"/>
        </w:tabs>
        <w:spacing w:after="0" w:line="320" w:lineRule="atLeast"/>
        <w:rPr>
          <w:sz w:val="24"/>
        </w:rPr>
      </w:pPr>
      <w:r w:rsidRPr="00990442">
        <w:rPr>
          <w:sz w:val="24"/>
        </w:rPr>
        <w:t>hoặc bất cứ số tiền hoặc những số tiền nào khác được quy định trong những điều khoản bổ sung đính kèm và được ký xác nhận bởi PJICO hay người đại diện cho PJICO.</w:t>
      </w:r>
    </w:p>
    <w:p w:rsidR="0075020E" w:rsidRPr="00990442" w:rsidRDefault="0075020E" w:rsidP="00990442">
      <w:pPr>
        <w:pStyle w:val="Heading1"/>
        <w:spacing w:before="240" w:after="240" w:line="320" w:lineRule="atLeast"/>
      </w:pPr>
      <w:r w:rsidRPr="00990442">
        <w:t>BẢO HIỂM DƯỚI GIÁ TRỊ</w:t>
      </w:r>
    </w:p>
    <w:p w:rsidR="0075020E" w:rsidRPr="00990442" w:rsidRDefault="0075020E" w:rsidP="00990442">
      <w:pPr>
        <w:spacing w:after="0" w:line="320" w:lineRule="atLeast"/>
        <w:rPr>
          <w:sz w:val="24"/>
        </w:rPr>
      </w:pPr>
      <w:r w:rsidRPr="00990442">
        <w:rPr>
          <w:sz w:val="24"/>
        </w:rPr>
        <w:t>Tại thời điểm xảy ra thiệt hại, nếu tài sản được bảo hiểm có giá trị thực tế lớn hơn số tiền bảo hiểm của tài sản đó thì Người được bảo hiểm phải tự chịu một phần tổn thất tương ứng với tỉ lệ bảo hiểm dưới giá trị. Điều kiện này sẽ được áp dụng riêng rẽ đối với từng hạng mục tài sản được bảo hiểm.</w:t>
      </w:r>
    </w:p>
    <w:p w:rsidR="0075020E" w:rsidRPr="00990442" w:rsidRDefault="0075020E" w:rsidP="00990442">
      <w:pPr>
        <w:pStyle w:val="Heading1"/>
        <w:spacing w:before="240" w:after="240" w:line="320" w:lineRule="atLeast"/>
      </w:pPr>
      <w:r w:rsidRPr="00990442">
        <w:t>MỨC khẤU TRỪ</w:t>
      </w:r>
    </w:p>
    <w:p w:rsidR="0075020E" w:rsidRPr="00990442" w:rsidRDefault="0075020E" w:rsidP="00990442">
      <w:pPr>
        <w:spacing w:after="0" w:line="320" w:lineRule="atLeast"/>
        <w:rPr>
          <w:sz w:val="24"/>
        </w:rPr>
      </w:pPr>
      <w:r w:rsidRPr="00990442">
        <w:rPr>
          <w:sz w:val="24"/>
        </w:rPr>
        <w:t>Bộ hợp đồng bảo hiểm này không bồi thường cho phần thiệt hại thuộc phạm vi Mức khấu trừ qui định trong GCNBH/Hợp đồng bảo hiểm đối với mỗi và mọi tổn thất xác định sau khi áp dụng tất cả các điều kiện, điều khoản, qui định khác của Quy tắc bảo hiểm này.</w:t>
      </w:r>
    </w:p>
    <w:p w:rsidR="0075020E" w:rsidRPr="00990442" w:rsidRDefault="0075020E" w:rsidP="00990442">
      <w:pPr>
        <w:spacing w:after="0" w:line="320" w:lineRule="atLeast"/>
        <w:rPr>
          <w:sz w:val="24"/>
        </w:rPr>
      </w:pPr>
      <w:r w:rsidRPr="00990442">
        <w:rPr>
          <w:sz w:val="24"/>
        </w:rPr>
        <w:t>Người được bảo hiểm cam kết rằng, trong suốt thời hạn bảo hiểm của Bộ hợp đồng bảo hiểm này, sẽ không có bất kỳ đơn bảo hiểm nào khác cho phần thiệt hại thuộc phạm vi Mức khấu trừ đã ghi trong GCNBH/Hợp đồng bảo hiểm.</w:t>
      </w:r>
    </w:p>
    <w:p w:rsidR="0075020E" w:rsidRPr="00936C6D" w:rsidRDefault="0075020E" w:rsidP="00990442">
      <w:pPr>
        <w:pStyle w:val="Heading1"/>
        <w:spacing w:before="240" w:after="240" w:line="320" w:lineRule="atLeast"/>
        <w:rPr>
          <w:sz w:val="32"/>
          <w:szCs w:val="32"/>
        </w:rPr>
      </w:pPr>
      <w:r w:rsidRPr="00936C6D">
        <w:rPr>
          <w:sz w:val="32"/>
          <w:szCs w:val="32"/>
        </w:rPr>
        <w:t>CÁC ĐIỂM LOẠI TRỪ CHUNG</w:t>
      </w:r>
    </w:p>
    <w:p w:rsidR="0075020E" w:rsidRPr="00990442" w:rsidRDefault="0075020E" w:rsidP="00936C6D">
      <w:pPr>
        <w:pStyle w:val="Heading1"/>
        <w:spacing w:before="100" w:after="0" w:line="280" w:lineRule="atLeast"/>
        <w:rPr>
          <w:i/>
        </w:rPr>
      </w:pPr>
      <w:r w:rsidRPr="00990442">
        <w:t>A.</w:t>
      </w:r>
      <w:r w:rsidRPr="00990442">
        <w:tab/>
        <w:t xml:space="preserve">CÁC NGUYÊN NHÂN LOẠI TRỪ </w:t>
      </w:r>
    </w:p>
    <w:p w:rsidR="0075020E" w:rsidRPr="00990442" w:rsidRDefault="0075020E" w:rsidP="00936C6D">
      <w:pPr>
        <w:spacing w:before="100" w:after="0" w:line="280" w:lineRule="atLeast"/>
        <w:ind w:left="432"/>
        <w:rPr>
          <w:sz w:val="24"/>
        </w:rPr>
      </w:pPr>
      <w:r w:rsidRPr="00990442">
        <w:rPr>
          <w:sz w:val="24"/>
        </w:rPr>
        <w:t>Quy tắc bảo hiểm này sẽ không bảo hiểm cho:</w:t>
      </w:r>
    </w:p>
    <w:p w:rsidR="0075020E" w:rsidRPr="00990442" w:rsidRDefault="0075020E" w:rsidP="00936C6D">
      <w:pPr>
        <w:numPr>
          <w:ilvl w:val="0"/>
          <w:numId w:val="2"/>
        </w:numPr>
        <w:tabs>
          <w:tab w:val="clear" w:pos="360"/>
          <w:tab w:val="left" w:pos="851"/>
        </w:tabs>
        <w:spacing w:before="100" w:after="0" w:line="280" w:lineRule="atLeast"/>
        <w:ind w:left="864" w:hanging="432"/>
        <w:rPr>
          <w:b/>
          <w:bCs/>
          <w:sz w:val="24"/>
        </w:rPr>
      </w:pPr>
      <w:r w:rsidRPr="00990442">
        <w:rPr>
          <w:b/>
          <w:bCs/>
          <w:sz w:val="24"/>
        </w:rPr>
        <w:t>Thiệt hại đối với tài sản được bảo hiểm gây ra bởi</w:t>
      </w:r>
    </w:p>
    <w:p w:rsidR="0075020E" w:rsidRPr="00990442" w:rsidRDefault="0075020E" w:rsidP="00936C6D">
      <w:pPr>
        <w:pStyle w:val="BodyTextIndent"/>
        <w:tabs>
          <w:tab w:val="left" w:pos="1430"/>
          <w:tab w:val="left" w:pos="1870"/>
        </w:tabs>
        <w:spacing w:before="100" w:after="0" w:line="280" w:lineRule="atLeast"/>
        <w:ind w:left="1870" w:hanging="990"/>
        <w:rPr>
          <w:rFonts w:ascii="Times New Roman" w:hAnsi="Times New Roman" w:cs="Times New Roman"/>
          <w:sz w:val="24"/>
        </w:rPr>
      </w:pPr>
      <w:r w:rsidRPr="00990442">
        <w:rPr>
          <w:rFonts w:ascii="Times New Roman" w:hAnsi="Times New Roman" w:cs="Times New Roman"/>
          <w:sz w:val="24"/>
        </w:rPr>
        <w:t>a)</w:t>
      </w:r>
      <w:r w:rsidRPr="00990442">
        <w:rPr>
          <w:rFonts w:ascii="Times New Roman" w:hAnsi="Times New Roman" w:cs="Times New Roman"/>
          <w:sz w:val="24"/>
        </w:rPr>
        <w:tab/>
        <w:t xml:space="preserve">(i)  </w:t>
      </w:r>
      <w:r w:rsidRPr="00990442">
        <w:rPr>
          <w:rFonts w:ascii="Times New Roman" w:hAnsi="Times New Roman" w:cs="Times New Roman"/>
          <w:sz w:val="24"/>
        </w:rPr>
        <w:tab/>
        <w:t>thiết kế sai hay khiếm khuyết, khuyết tật của nguyên vật liệu hoặc tay nghề kém, khuyết tật vốn có, khuyết tật ẩn tỳ, hư hỏng dần theo thời gian, biến dạng, móp, méo hay hao mòn tự nhiên;</w:t>
      </w:r>
    </w:p>
    <w:p w:rsidR="0075020E" w:rsidRPr="00990442" w:rsidRDefault="0075020E" w:rsidP="00936C6D">
      <w:pPr>
        <w:pStyle w:val="BodyTextIndent"/>
        <w:tabs>
          <w:tab w:val="left" w:pos="1418"/>
          <w:tab w:val="left" w:pos="1870"/>
        </w:tabs>
        <w:spacing w:before="100" w:after="0" w:line="280" w:lineRule="atLeast"/>
        <w:ind w:left="1870" w:hanging="990"/>
        <w:rPr>
          <w:rFonts w:ascii="Times New Roman" w:hAnsi="Times New Roman" w:cs="Times New Roman"/>
          <w:sz w:val="24"/>
        </w:rPr>
      </w:pPr>
      <w:r w:rsidRPr="00990442">
        <w:rPr>
          <w:rFonts w:ascii="Times New Roman" w:hAnsi="Times New Roman" w:cs="Times New Roman"/>
          <w:sz w:val="24"/>
        </w:rPr>
        <w:tab/>
        <w:t>(ii)</w:t>
      </w:r>
      <w:r w:rsidRPr="00990442">
        <w:rPr>
          <w:rFonts w:ascii="Times New Roman" w:hAnsi="Times New Roman" w:cs="Times New Roman"/>
          <w:sz w:val="24"/>
        </w:rPr>
        <w:tab/>
        <w:t>việc ngừng cung cấp nước, khí đốt, điện hoặc các nguồn nhiên liệu khác hoặc do hư hỏng của hệ thống chất thải dẫn đến hoặc đi từ địa điểm được  bảo hiểm.</w:t>
      </w:r>
    </w:p>
    <w:p w:rsidR="0075020E" w:rsidRPr="00990442" w:rsidRDefault="0075020E" w:rsidP="00936C6D">
      <w:pPr>
        <w:pStyle w:val="BodyTextIndent"/>
        <w:widowControl w:val="0"/>
        <w:spacing w:before="100" w:after="0" w:line="280" w:lineRule="atLeast"/>
        <w:ind w:left="907"/>
        <w:rPr>
          <w:rFonts w:ascii="Times New Roman" w:hAnsi="Times New Roman" w:cs="Times New Roman"/>
          <w:sz w:val="24"/>
        </w:rPr>
      </w:pPr>
      <w:r w:rsidRPr="00990442">
        <w:rPr>
          <w:rFonts w:ascii="Times New Roman" w:hAnsi="Times New Roman" w:cs="Times New Roman"/>
          <w:sz w:val="24"/>
        </w:rPr>
        <w:t xml:space="preserve">Trừ khi thiệt hại xảy ra tiếp theo do một nguyên nhân không bị loại trừ trong Quy tắc bảo hiểm này và trong trường hợp đó PJICO chỉ chịu trách nhiệm đối với thiệt hại xảy ra tiếp </w:t>
      </w:r>
      <w:r w:rsidRPr="00990442">
        <w:rPr>
          <w:rFonts w:ascii="Times New Roman" w:hAnsi="Times New Roman" w:cs="Times New Roman"/>
          <w:color w:val="000000"/>
          <w:sz w:val="24"/>
        </w:rPr>
        <w:t>theo đó.</w:t>
      </w:r>
    </w:p>
    <w:p w:rsidR="0075020E" w:rsidRPr="00990442" w:rsidRDefault="0075020E" w:rsidP="00936C6D">
      <w:pPr>
        <w:pStyle w:val="BodyTextIndent"/>
        <w:tabs>
          <w:tab w:val="left" w:pos="1440"/>
          <w:tab w:val="left" w:pos="1870"/>
        </w:tabs>
        <w:spacing w:before="100" w:after="0" w:line="280" w:lineRule="atLeast"/>
        <w:ind w:left="1870" w:hanging="990"/>
        <w:rPr>
          <w:rFonts w:ascii="Times New Roman" w:hAnsi="Times New Roman" w:cs="Times New Roman"/>
          <w:sz w:val="24"/>
        </w:rPr>
      </w:pPr>
      <w:r w:rsidRPr="00990442">
        <w:rPr>
          <w:rFonts w:ascii="Times New Roman" w:hAnsi="Times New Roman" w:cs="Times New Roman"/>
          <w:sz w:val="24"/>
        </w:rPr>
        <w:t>b)</w:t>
      </w:r>
      <w:r w:rsidRPr="00990442">
        <w:rPr>
          <w:rFonts w:ascii="Times New Roman" w:hAnsi="Times New Roman" w:cs="Times New Roman"/>
          <w:sz w:val="24"/>
        </w:rPr>
        <w:tab/>
        <w:t>(i)</w:t>
      </w:r>
      <w:r w:rsidRPr="00990442">
        <w:rPr>
          <w:rFonts w:ascii="Times New Roman" w:hAnsi="Times New Roman" w:cs="Times New Roman"/>
          <w:sz w:val="24"/>
        </w:rPr>
        <w:tab/>
        <w:t>sụp đổ hay rạn nứt của ngôi nhà được bảo hiểm;</w:t>
      </w:r>
    </w:p>
    <w:p w:rsidR="0075020E" w:rsidRPr="00990442" w:rsidRDefault="0075020E" w:rsidP="00936C6D">
      <w:pPr>
        <w:pStyle w:val="BodyTextIndent"/>
        <w:tabs>
          <w:tab w:val="left" w:pos="1418"/>
          <w:tab w:val="left" w:pos="1870"/>
        </w:tabs>
        <w:spacing w:before="100" w:after="0" w:line="280" w:lineRule="atLeast"/>
        <w:ind w:left="1870" w:hanging="990"/>
        <w:rPr>
          <w:rFonts w:ascii="Times New Roman" w:hAnsi="Times New Roman" w:cs="Times New Roman"/>
          <w:sz w:val="24"/>
        </w:rPr>
      </w:pPr>
      <w:r w:rsidRPr="00990442">
        <w:rPr>
          <w:rFonts w:ascii="Times New Roman" w:hAnsi="Times New Roman" w:cs="Times New Roman"/>
          <w:sz w:val="24"/>
        </w:rPr>
        <w:tab/>
        <w:t>(ii)</w:t>
      </w:r>
      <w:r w:rsidRPr="00990442">
        <w:rPr>
          <w:rFonts w:ascii="Times New Roman" w:hAnsi="Times New Roman" w:cs="Times New Roman"/>
          <w:sz w:val="24"/>
        </w:rPr>
        <w:tab/>
        <w:t xml:space="preserve"> ăn mòn, gỉ sắt hoặc thay đổi nhiệt độ, độ ẩm, độ khô của thời tiết, mục nát, nấm mốc, co rút, bay hơi, hao hụt, nhiễm bẩn, thay đổi màu sắc, mùi vị, kết cấu hoặc do tác động của ánh sáng, sâu bọ, côn trùng, động vật gây hại phá hoại hoặc cắn rách,</w:t>
      </w:r>
    </w:p>
    <w:p w:rsidR="0075020E" w:rsidRPr="00990442" w:rsidRDefault="0075020E" w:rsidP="00936C6D">
      <w:pPr>
        <w:pStyle w:val="BodyTextIndent"/>
        <w:tabs>
          <w:tab w:val="left" w:pos="1430"/>
        </w:tabs>
        <w:spacing w:before="100" w:after="0" w:line="280" w:lineRule="atLeast"/>
        <w:ind w:left="1425" w:hanging="547"/>
        <w:rPr>
          <w:rFonts w:ascii="Times New Roman" w:hAnsi="Times New Roman" w:cs="Times New Roman"/>
          <w:sz w:val="24"/>
        </w:rPr>
      </w:pPr>
      <w:r w:rsidRPr="00990442">
        <w:rPr>
          <w:rFonts w:ascii="Times New Roman" w:hAnsi="Times New Roman" w:cs="Times New Roman"/>
          <w:sz w:val="24"/>
        </w:rPr>
        <w:tab/>
        <w:t>trừ khi những tổn thất đó gây ra trực tiếp bởi Thiệt hại đối với tài sản được bảo hiểm hoặc đối với khu vực chứa tài sản được bảo hiểm do nguyên nhân không bị loại trừ trong Quy tắc bảo hiểm này gây ra.</w:t>
      </w:r>
    </w:p>
    <w:p w:rsidR="0075020E" w:rsidRPr="00990442" w:rsidRDefault="0075020E" w:rsidP="00936C6D">
      <w:pPr>
        <w:pStyle w:val="BodyTextIndent"/>
        <w:tabs>
          <w:tab w:val="left" w:pos="1440"/>
          <w:tab w:val="left" w:pos="1870"/>
        </w:tabs>
        <w:spacing w:before="100" w:after="0" w:line="280" w:lineRule="atLeast"/>
        <w:ind w:left="1872" w:hanging="990"/>
        <w:rPr>
          <w:rFonts w:ascii="Times New Roman" w:hAnsi="Times New Roman" w:cs="Times New Roman"/>
          <w:sz w:val="24"/>
        </w:rPr>
      </w:pPr>
      <w:r w:rsidRPr="00990442">
        <w:rPr>
          <w:rFonts w:ascii="Times New Roman" w:hAnsi="Times New Roman" w:cs="Times New Roman"/>
          <w:sz w:val="24"/>
        </w:rPr>
        <w:t>c)</w:t>
      </w:r>
      <w:r w:rsidRPr="00990442">
        <w:rPr>
          <w:rFonts w:ascii="Times New Roman" w:hAnsi="Times New Roman" w:cs="Times New Roman"/>
          <w:sz w:val="24"/>
        </w:rPr>
        <w:tab/>
        <w:t>(i)</w:t>
      </w:r>
      <w:r w:rsidRPr="00990442">
        <w:rPr>
          <w:rFonts w:ascii="Times New Roman" w:hAnsi="Times New Roman" w:cs="Times New Roman"/>
          <w:sz w:val="24"/>
        </w:rPr>
        <w:tab/>
        <w:t>trộm cắp trừ khi việc trộm cắp đó xảy ra trong căn nhà được bảo hiểm và được thực hiện bằng vũ lực để đột nhập hay tẩu thoát;</w:t>
      </w:r>
    </w:p>
    <w:p w:rsidR="0075020E" w:rsidRPr="00990442" w:rsidRDefault="0075020E" w:rsidP="00936C6D">
      <w:pPr>
        <w:pStyle w:val="BodyTextIndent3"/>
        <w:tabs>
          <w:tab w:val="clear" w:pos="432"/>
          <w:tab w:val="clear" w:pos="864"/>
          <w:tab w:val="left" w:pos="1870"/>
        </w:tabs>
        <w:spacing w:before="100" w:after="0" w:line="280" w:lineRule="atLeast"/>
        <w:ind w:left="1872" w:hanging="440"/>
        <w:rPr>
          <w:sz w:val="24"/>
          <w:szCs w:val="24"/>
        </w:rPr>
      </w:pPr>
      <w:r w:rsidRPr="00990442">
        <w:rPr>
          <w:sz w:val="24"/>
          <w:szCs w:val="24"/>
        </w:rPr>
        <w:t>(ii)</w:t>
      </w:r>
      <w:r w:rsidRPr="00990442">
        <w:rPr>
          <w:sz w:val="24"/>
          <w:szCs w:val="24"/>
        </w:rPr>
        <w:tab/>
        <w:t>các hành vi lừa đảo hay không trung thực;</w:t>
      </w:r>
    </w:p>
    <w:p w:rsidR="0075020E" w:rsidRPr="00990442" w:rsidRDefault="0075020E" w:rsidP="00936C6D">
      <w:pPr>
        <w:pStyle w:val="BodyTextIndent3"/>
        <w:tabs>
          <w:tab w:val="clear" w:pos="432"/>
          <w:tab w:val="clear" w:pos="864"/>
          <w:tab w:val="left" w:pos="1870"/>
        </w:tabs>
        <w:spacing w:before="100" w:after="0" w:line="280" w:lineRule="atLeast"/>
        <w:ind w:left="1872" w:hanging="440"/>
        <w:rPr>
          <w:sz w:val="24"/>
          <w:szCs w:val="24"/>
        </w:rPr>
      </w:pPr>
      <w:r w:rsidRPr="00990442">
        <w:rPr>
          <w:sz w:val="24"/>
          <w:szCs w:val="24"/>
        </w:rPr>
        <w:t>(iii)</w:t>
      </w:r>
      <w:r w:rsidRPr="00990442">
        <w:rPr>
          <w:sz w:val="24"/>
          <w:szCs w:val="24"/>
        </w:rPr>
        <w:tab/>
        <w:t>mất mát không giải thích được nguyên nhân hoặc thiếu hụt hàng tồn kho phát hiện được trong quá trình kiểm kê, thông tin sai lạc hoặc không đầy đủ, thiếu hụt trong khâu cung ứng hay giao nhận nguyên vật liệu hoặc  thiếu hụt do sai sót trong các công việc hành chính hoặc kế toán;</w:t>
      </w:r>
    </w:p>
    <w:p w:rsidR="0075020E" w:rsidRPr="00990442" w:rsidRDefault="0075020E" w:rsidP="00936C6D">
      <w:pPr>
        <w:pStyle w:val="BodyTextIndent3"/>
        <w:tabs>
          <w:tab w:val="clear" w:pos="432"/>
          <w:tab w:val="clear" w:pos="864"/>
          <w:tab w:val="left" w:pos="1870"/>
        </w:tabs>
        <w:spacing w:before="100" w:after="0" w:line="280" w:lineRule="atLeast"/>
        <w:ind w:left="1872" w:hanging="440"/>
        <w:rPr>
          <w:sz w:val="24"/>
          <w:szCs w:val="24"/>
        </w:rPr>
      </w:pPr>
      <w:r w:rsidRPr="00990442">
        <w:rPr>
          <w:sz w:val="24"/>
          <w:szCs w:val="24"/>
        </w:rPr>
        <w:t>(iv)</w:t>
      </w:r>
      <w:r w:rsidRPr="00990442">
        <w:rPr>
          <w:sz w:val="24"/>
          <w:szCs w:val="24"/>
        </w:rPr>
        <w:tab/>
        <w:t>rạn nứt, gãy, đổ vỡ hoặc quá nhiệt của nồi hơi, bình đun nước bằng hơi tiết kiệm, bình chứa, ống hoặc đường ống, rò rỉ tại các ống nối hoặc hư hỏng ở các mối hàn của nồi hơi;</w:t>
      </w:r>
    </w:p>
    <w:p w:rsidR="0075020E" w:rsidRPr="00990442" w:rsidRDefault="0075020E" w:rsidP="00936C6D">
      <w:pPr>
        <w:pStyle w:val="BodyTextIndent3"/>
        <w:tabs>
          <w:tab w:val="clear" w:pos="432"/>
          <w:tab w:val="clear" w:pos="864"/>
          <w:tab w:val="left" w:pos="1870"/>
        </w:tabs>
        <w:spacing w:before="100" w:after="0" w:line="280" w:lineRule="atLeast"/>
        <w:ind w:left="1872" w:hanging="440"/>
        <w:rPr>
          <w:color w:val="000000"/>
          <w:sz w:val="24"/>
          <w:szCs w:val="24"/>
        </w:rPr>
      </w:pPr>
      <w:r w:rsidRPr="00990442">
        <w:rPr>
          <w:color w:val="000000"/>
          <w:sz w:val="24"/>
          <w:szCs w:val="24"/>
        </w:rPr>
        <w:t>(v)</w:t>
      </w:r>
      <w:r w:rsidRPr="00990442">
        <w:rPr>
          <w:color w:val="000000"/>
          <w:sz w:val="24"/>
          <w:szCs w:val="24"/>
        </w:rPr>
        <w:tab/>
        <w:t xml:space="preserve">hư hỏng hay trục trặc về điện hoặc cơ của máy móc hoặc thiết bị; </w:t>
      </w:r>
    </w:p>
    <w:p w:rsidR="0075020E" w:rsidRPr="00990442" w:rsidRDefault="0075020E" w:rsidP="00936C6D">
      <w:pPr>
        <w:pStyle w:val="BodyTextIndent3"/>
        <w:tabs>
          <w:tab w:val="clear" w:pos="432"/>
          <w:tab w:val="clear" w:pos="864"/>
          <w:tab w:val="left" w:pos="1870"/>
        </w:tabs>
        <w:spacing w:before="100" w:after="0" w:line="280" w:lineRule="atLeast"/>
        <w:ind w:left="1872" w:hanging="440"/>
        <w:rPr>
          <w:sz w:val="24"/>
          <w:szCs w:val="24"/>
        </w:rPr>
      </w:pPr>
      <w:r w:rsidRPr="00990442">
        <w:rPr>
          <w:sz w:val="24"/>
          <w:szCs w:val="24"/>
        </w:rPr>
        <w:t>(vi)</w:t>
      </w:r>
      <w:r w:rsidRPr="00990442">
        <w:rPr>
          <w:sz w:val="24"/>
          <w:szCs w:val="24"/>
        </w:rPr>
        <w:tab/>
        <w:t>vỡ, tràn nước, tháo nước hay rò rỉ nước từ các bể chứa, đường ống hay các thiết bị chứa nước khi tòa nhà hay khu vực được bảo hiểm bị bỏ trống hoặc không được sử dụng;</w:t>
      </w:r>
    </w:p>
    <w:p w:rsidR="0075020E" w:rsidRPr="00990442" w:rsidRDefault="0075020E" w:rsidP="00936C6D">
      <w:pPr>
        <w:spacing w:before="100" w:after="0" w:line="280" w:lineRule="atLeast"/>
        <w:ind w:left="878"/>
        <w:rPr>
          <w:i/>
          <w:iCs/>
          <w:sz w:val="24"/>
          <w:u w:val="single"/>
        </w:rPr>
      </w:pPr>
      <w:r w:rsidRPr="00990442">
        <w:rPr>
          <w:i/>
          <w:iCs/>
          <w:sz w:val="24"/>
          <w:u w:val="single"/>
        </w:rPr>
        <w:t>trừ khi</w:t>
      </w:r>
    </w:p>
    <w:p w:rsidR="0075020E" w:rsidRPr="00990442" w:rsidRDefault="0075020E" w:rsidP="00936C6D">
      <w:pPr>
        <w:pStyle w:val="BodyTextIndent3"/>
        <w:tabs>
          <w:tab w:val="clear" w:pos="432"/>
          <w:tab w:val="clear" w:pos="864"/>
          <w:tab w:val="left" w:pos="1870"/>
        </w:tabs>
        <w:spacing w:before="100" w:after="0" w:line="280" w:lineRule="atLeast"/>
        <w:ind w:left="1870" w:hanging="440"/>
        <w:rPr>
          <w:sz w:val="24"/>
          <w:szCs w:val="24"/>
        </w:rPr>
      </w:pPr>
      <w:r w:rsidRPr="00990442">
        <w:rPr>
          <w:sz w:val="24"/>
          <w:szCs w:val="24"/>
        </w:rPr>
        <w:t>(i)</w:t>
      </w:r>
      <w:r w:rsidRPr="00990442">
        <w:rPr>
          <w:sz w:val="24"/>
          <w:szCs w:val="24"/>
        </w:rPr>
        <w:tab/>
        <w:t>thiệt hại xảy ra tiếp theo đó do một nguyên nhân không bị loại trừ trong Quy tắc bảo hiểm này gây ra và trong trường hợp như vậy PJICO chỉ chịu  trách nhiệm đối với thiệt hại kế tiếp theo đó;</w:t>
      </w:r>
    </w:p>
    <w:p w:rsidR="0075020E" w:rsidRPr="00990442" w:rsidRDefault="0075020E" w:rsidP="00936C6D">
      <w:pPr>
        <w:pStyle w:val="BodyTextIndent3"/>
        <w:tabs>
          <w:tab w:val="clear" w:pos="432"/>
          <w:tab w:val="clear" w:pos="864"/>
          <w:tab w:val="left" w:pos="1870"/>
        </w:tabs>
        <w:spacing w:before="100" w:after="0" w:line="280" w:lineRule="atLeast"/>
        <w:ind w:left="1872" w:hanging="446"/>
        <w:rPr>
          <w:sz w:val="24"/>
          <w:szCs w:val="24"/>
        </w:rPr>
      </w:pPr>
      <w:r w:rsidRPr="00990442">
        <w:rPr>
          <w:sz w:val="24"/>
          <w:szCs w:val="24"/>
        </w:rPr>
        <w:t>(ii)</w:t>
      </w:r>
      <w:r w:rsidRPr="00990442">
        <w:rPr>
          <w:sz w:val="24"/>
          <w:szCs w:val="24"/>
        </w:rPr>
        <w:tab/>
        <w:t>tổn thất trên do nguyên nhân trực tiếp bởi thiệt hại đối với tài sản được bảo hiểm hoặc đối với tòa nhà hay khu vực chứa các tài sản được bảo hiểm do một nguyên nhân không bị loại trừ trong Quy tắc bảo hiểm này gây ra.</w:t>
      </w:r>
    </w:p>
    <w:p w:rsidR="0075020E" w:rsidRPr="00990442" w:rsidRDefault="0075020E" w:rsidP="00936C6D">
      <w:pPr>
        <w:pStyle w:val="BodyTextIndent"/>
        <w:tabs>
          <w:tab w:val="left" w:pos="1440"/>
          <w:tab w:val="left" w:pos="1870"/>
        </w:tabs>
        <w:spacing w:before="100" w:after="0" w:line="280" w:lineRule="atLeast"/>
        <w:ind w:left="1870" w:hanging="990"/>
        <w:rPr>
          <w:rFonts w:ascii="Times New Roman" w:hAnsi="Times New Roman" w:cs="Times New Roman"/>
          <w:sz w:val="24"/>
        </w:rPr>
      </w:pPr>
      <w:r w:rsidRPr="00990442">
        <w:rPr>
          <w:rFonts w:ascii="Times New Roman" w:hAnsi="Times New Roman" w:cs="Times New Roman"/>
          <w:sz w:val="24"/>
        </w:rPr>
        <w:t>d)</w:t>
      </w:r>
      <w:r w:rsidRPr="00990442">
        <w:rPr>
          <w:rFonts w:ascii="Times New Roman" w:hAnsi="Times New Roman" w:cs="Times New Roman"/>
          <w:sz w:val="24"/>
        </w:rPr>
        <w:tab/>
        <w:t>(i)</w:t>
      </w:r>
      <w:r w:rsidRPr="00990442">
        <w:rPr>
          <w:rFonts w:ascii="Times New Roman" w:hAnsi="Times New Roman" w:cs="Times New Roman"/>
          <w:color w:val="FF0000"/>
          <w:sz w:val="24"/>
        </w:rPr>
        <w:tab/>
        <w:t xml:space="preserve">sự </w:t>
      </w:r>
      <w:r w:rsidRPr="00990442">
        <w:rPr>
          <w:rFonts w:ascii="Times New Roman" w:hAnsi="Times New Roman" w:cs="Times New Roman"/>
          <w:color w:val="000000"/>
          <w:sz w:val="24"/>
        </w:rPr>
        <w:t>xói mòn của bờ biển</w:t>
      </w:r>
      <w:r w:rsidRPr="00990442">
        <w:rPr>
          <w:rFonts w:ascii="Times New Roman" w:hAnsi="Times New Roman" w:cs="Times New Roman"/>
          <w:sz w:val="24"/>
        </w:rPr>
        <w:t xml:space="preserve"> hoặc bờ sông;</w:t>
      </w:r>
    </w:p>
    <w:p w:rsidR="0075020E" w:rsidRPr="00990442" w:rsidRDefault="0075020E" w:rsidP="00936C6D">
      <w:pPr>
        <w:pStyle w:val="BodyTextIndent3"/>
        <w:tabs>
          <w:tab w:val="clear" w:pos="432"/>
          <w:tab w:val="clear" w:pos="864"/>
          <w:tab w:val="left" w:pos="1870"/>
        </w:tabs>
        <w:spacing w:before="100" w:after="0" w:line="280" w:lineRule="atLeast"/>
        <w:ind w:left="1870" w:hanging="440"/>
        <w:rPr>
          <w:sz w:val="24"/>
          <w:szCs w:val="24"/>
        </w:rPr>
      </w:pPr>
      <w:r w:rsidRPr="00990442">
        <w:rPr>
          <w:sz w:val="24"/>
          <w:szCs w:val="24"/>
        </w:rPr>
        <w:t>(ii)</w:t>
      </w:r>
      <w:r w:rsidRPr="00990442">
        <w:rPr>
          <w:sz w:val="24"/>
          <w:szCs w:val="24"/>
        </w:rPr>
        <w:tab/>
        <w:t>lún, sự dịch chuyển hay sạt lở của đất;</w:t>
      </w:r>
    </w:p>
    <w:p w:rsidR="0075020E" w:rsidRPr="00990442" w:rsidRDefault="0075020E" w:rsidP="00990442">
      <w:pPr>
        <w:pStyle w:val="BodyTextIndent3"/>
        <w:tabs>
          <w:tab w:val="clear" w:pos="432"/>
          <w:tab w:val="clear" w:pos="864"/>
          <w:tab w:val="left" w:pos="1870"/>
        </w:tabs>
        <w:spacing w:after="0" w:line="320" w:lineRule="atLeast"/>
        <w:ind w:left="1870" w:hanging="440"/>
        <w:rPr>
          <w:sz w:val="24"/>
          <w:szCs w:val="24"/>
        </w:rPr>
      </w:pPr>
      <w:r w:rsidRPr="00990442">
        <w:rPr>
          <w:sz w:val="24"/>
          <w:szCs w:val="24"/>
        </w:rPr>
        <w:t>(iii)</w:t>
      </w:r>
      <w:r w:rsidRPr="00990442">
        <w:rPr>
          <w:sz w:val="24"/>
          <w:szCs w:val="24"/>
        </w:rPr>
        <w:tab/>
        <w:t>sự lún xuống thông thường hoặc chìm lún của các cấu trúc xây dựng mới;</w:t>
      </w:r>
    </w:p>
    <w:p w:rsidR="0075020E" w:rsidRPr="00990442" w:rsidRDefault="0075020E" w:rsidP="00990442">
      <w:pPr>
        <w:pStyle w:val="BodyTextIndent3"/>
        <w:widowControl w:val="0"/>
        <w:tabs>
          <w:tab w:val="clear" w:pos="432"/>
          <w:tab w:val="clear" w:pos="864"/>
          <w:tab w:val="left" w:pos="1870"/>
        </w:tabs>
        <w:spacing w:after="0" w:line="320" w:lineRule="atLeast"/>
        <w:ind w:left="1871" w:hanging="442"/>
        <w:rPr>
          <w:sz w:val="24"/>
          <w:szCs w:val="24"/>
        </w:rPr>
      </w:pPr>
      <w:r w:rsidRPr="00990442">
        <w:rPr>
          <w:sz w:val="24"/>
          <w:szCs w:val="24"/>
        </w:rPr>
        <w:t>(iv)</w:t>
      </w:r>
      <w:r w:rsidRPr="00990442">
        <w:rPr>
          <w:sz w:val="24"/>
          <w:szCs w:val="24"/>
        </w:rPr>
        <w:tab/>
        <w:t>gió, mưa, mưa đá, tuyết, sương mù, lũ lụt, cát hoặc bụi tác động đến tài sản có thể di dời để ngoài trời hay trong các tòa nhà nhưng không được che chắn hoặc tác động đến hàng rào và cổng;</w:t>
      </w:r>
    </w:p>
    <w:p w:rsidR="0075020E" w:rsidRPr="00990442" w:rsidRDefault="0075020E" w:rsidP="00437D8D">
      <w:pPr>
        <w:pStyle w:val="BodyTextIndent3"/>
        <w:tabs>
          <w:tab w:val="clear" w:pos="432"/>
          <w:tab w:val="clear" w:pos="864"/>
          <w:tab w:val="left" w:pos="1870"/>
        </w:tabs>
        <w:spacing w:before="100" w:after="0" w:line="300" w:lineRule="atLeast"/>
        <w:ind w:left="1872" w:hanging="446"/>
        <w:rPr>
          <w:sz w:val="24"/>
          <w:szCs w:val="24"/>
        </w:rPr>
      </w:pPr>
      <w:r w:rsidRPr="00990442">
        <w:rPr>
          <w:sz w:val="24"/>
          <w:szCs w:val="24"/>
        </w:rPr>
        <w:t>(v)</w:t>
      </w:r>
      <w:r w:rsidRPr="00990442">
        <w:rPr>
          <w:sz w:val="24"/>
          <w:szCs w:val="24"/>
        </w:rPr>
        <w:tab/>
        <w:t>sự đông lạnh, đông cứng hoặc thoát ra ngẫu nhiên của nguyên vật liệu nấu chảy.</w:t>
      </w:r>
    </w:p>
    <w:p w:rsidR="0075020E" w:rsidRPr="00990442" w:rsidRDefault="0075020E" w:rsidP="00437D8D">
      <w:pPr>
        <w:numPr>
          <w:ilvl w:val="0"/>
          <w:numId w:val="2"/>
        </w:numPr>
        <w:tabs>
          <w:tab w:val="clear" w:pos="360"/>
          <w:tab w:val="left" w:pos="851"/>
        </w:tabs>
        <w:spacing w:before="100" w:after="0" w:line="300" w:lineRule="atLeast"/>
        <w:ind w:left="864" w:hanging="432"/>
        <w:rPr>
          <w:b/>
          <w:bCs/>
          <w:sz w:val="24"/>
        </w:rPr>
      </w:pPr>
      <w:r w:rsidRPr="00990442">
        <w:rPr>
          <w:b/>
          <w:bCs/>
          <w:sz w:val="24"/>
        </w:rPr>
        <w:t>Thiệt hại gây ra do hoặc phát sinh do:</w:t>
      </w:r>
    </w:p>
    <w:p w:rsidR="0075020E" w:rsidRPr="00990442" w:rsidRDefault="0075020E" w:rsidP="00437D8D">
      <w:pPr>
        <w:tabs>
          <w:tab w:val="left" w:pos="1430"/>
        </w:tabs>
        <w:spacing w:before="100" w:after="0" w:line="300" w:lineRule="atLeast"/>
        <w:ind w:left="1425" w:hanging="547"/>
        <w:rPr>
          <w:sz w:val="24"/>
        </w:rPr>
      </w:pPr>
      <w:r w:rsidRPr="00990442">
        <w:rPr>
          <w:sz w:val="24"/>
        </w:rPr>
        <w:t>a)</w:t>
      </w:r>
      <w:r w:rsidRPr="00990442">
        <w:rPr>
          <w:sz w:val="24"/>
        </w:rPr>
        <w:tab/>
        <w:t>bất kỳ hành động cố ý hay cố tình sơ suất của Người được bảo hiểm hay người  đại diện của họ;</w:t>
      </w:r>
    </w:p>
    <w:p w:rsidR="0075020E" w:rsidRPr="00990442" w:rsidRDefault="0075020E" w:rsidP="00437D8D">
      <w:pPr>
        <w:tabs>
          <w:tab w:val="left" w:pos="1430"/>
        </w:tabs>
        <w:spacing w:before="100" w:after="0" w:line="300" w:lineRule="atLeast"/>
        <w:ind w:left="1425" w:hanging="547"/>
        <w:rPr>
          <w:sz w:val="24"/>
        </w:rPr>
      </w:pPr>
      <w:r w:rsidRPr="00990442">
        <w:rPr>
          <w:sz w:val="24"/>
        </w:rPr>
        <w:t>b)</w:t>
      </w:r>
      <w:r w:rsidRPr="00990442">
        <w:rPr>
          <w:sz w:val="24"/>
        </w:rPr>
        <w:tab/>
        <w:t>ngừng công việc, trì hoãn hoặc mất thị trường hoặc bất kỳ tổn thất gián tiếp hoặc tổn thất có tính chất hậu quả nào khác dưới bất kỳ hình thức nào.</w:t>
      </w:r>
    </w:p>
    <w:p w:rsidR="0075020E" w:rsidRPr="00990442" w:rsidRDefault="0075020E" w:rsidP="00437D8D">
      <w:pPr>
        <w:numPr>
          <w:ilvl w:val="0"/>
          <w:numId w:val="2"/>
        </w:numPr>
        <w:tabs>
          <w:tab w:val="clear" w:pos="360"/>
          <w:tab w:val="left" w:pos="851"/>
        </w:tabs>
        <w:spacing w:before="100" w:after="0" w:line="300" w:lineRule="atLeast"/>
        <w:ind w:left="864" w:hanging="432"/>
        <w:rPr>
          <w:b/>
          <w:bCs/>
          <w:sz w:val="24"/>
        </w:rPr>
      </w:pPr>
      <w:r w:rsidRPr="00990442">
        <w:rPr>
          <w:b/>
          <w:bCs/>
          <w:sz w:val="24"/>
        </w:rPr>
        <w:t>Thiệt hại trực tiếp hoặc gián tiếp gây ra hoặc thông qua hay do hậu quả của bất kỳ sự cố nào sau đây:</w:t>
      </w:r>
    </w:p>
    <w:p w:rsidR="0075020E" w:rsidRPr="00990442" w:rsidRDefault="0075020E" w:rsidP="00437D8D">
      <w:pPr>
        <w:tabs>
          <w:tab w:val="left" w:pos="1430"/>
        </w:tabs>
        <w:spacing w:before="100" w:after="0" w:line="300" w:lineRule="atLeast"/>
        <w:ind w:left="1425" w:hanging="547"/>
        <w:rPr>
          <w:sz w:val="24"/>
        </w:rPr>
      </w:pPr>
      <w:r w:rsidRPr="00990442">
        <w:rPr>
          <w:sz w:val="24"/>
        </w:rPr>
        <w:t>a)</w:t>
      </w:r>
      <w:r w:rsidRPr="00990442">
        <w:rPr>
          <w:sz w:val="24"/>
        </w:rPr>
        <w:tab/>
      </w:r>
      <w:r w:rsidRPr="00990442">
        <w:rPr>
          <w:sz w:val="24"/>
        </w:rPr>
        <w:tab/>
        <w:t>chiến tranh, xâm lược, các hành động của kẻ thù nước ngoài, hành động thù địch hoặc hoạt động tương tự chiến tranh (dù có tuyên chiến hay không), nội chiến;</w:t>
      </w:r>
    </w:p>
    <w:p w:rsidR="0075020E" w:rsidRPr="00990442" w:rsidRDefault="0075020E" w:rsidP="00437D8D">
      <w:pPr>
        <w:tabs>
          <w:tab w:val="left" w:pos="1430"/>
        </w:tabs>
        <w:spacing w:before="100" w:after="0" w:line="300" w:lineRule="atLeast"/>
        <w:ind w:left="1425" w:hanging="547"/>
        <w:rPr>
          <w:sz w:val="24"/>
        </w:rPr>
      </w:pPr>
      <w:r w:rsidRPr="00990442">
        <w:rPr>
          <w:sz w:val="24"/>
        </w:rPr>
        <w:t>b)</w:t>
      </w:r>
      <w:r w:rsidRPr="00990442">
        <w:rPr>
          <w:sz w:val="24"/>
        </w:rPr>
        <w:tab/>
        <w:t>hoạt động binh biến, rối loạn dân sự có khả năng dẫn tới cuộc bạo động quần chúng, bạo loạn, cách mạng, khởi nghĩa, hành động quân sự hoặc tiếm quyền.</w:t>
      </w:r>
    </w:p>
    <w:p w:rsidR="0075020E" w:rsidRPr="00990442" w:rsidRDefault="0075020E" w:rsidP="00437D8D">
      <w:pPr>
        <w:tabs>
          <w:tab w:val="left" w:pos="1430"/>
        </w:tabs>
        <w:spacing w:before="100" w:after="0" w:line="300" w:lineRule="atLeast"/>
        <w:ind w:left="1425" w:hanging="547"/>
        <w:rPr>
          <w:sz w:val="24"/>
        </w:rPr>
      </w:pPr>
      <w:r w:rsidRPr="00990442">
        <w:rPr>
          <w:sz w:val="24"/>
        </w:rPr>
        <w:t>c)</w:t>
      </w:r>
      <w:r w:rsidRPr="00990442">
        <w:rPr>
          <w:sz w:val="24"/>
        </w:rPr>
        <w:tab/>
        <w:t xml:space="preserve">hành động khủng bố của một người hay một nhóm người dưới danh nghĩa hoặc có liên quan tới bất kỳ tổ chức nào. </w:t>
      </w:r>
    </w:p>
    <w:p w:rsidR="0075020E" w:rsidRPr="00990442" w:rsidRDefault="0075020E" w:rsidP="00437D8D">
      <w:pPr>
        <w:spacing w:before="100" w:after="0" w:line="300" w:lineRule="atLeast"/>
        <w:ind w:left="851"/>
        <w:rPr>
          <w:sz w:val="24"/>
        </w:rPr>
      </w:pPr>
      <w:r w:rsidRPr="00990442">
        <w:rPr>
          <w:sz w:val="24"/>
        </w:rPr>
        <w:t>“Hành động khủng bố” được hiểu trong Điểm loại trừ A3(c) này là việc sử dụng vũ lực vào các mục đích chính trị và bao gồm cả sử dụng bạo lực nhằm mục đích đe dọa đối với cộng đồng hoặc bất kỳ bộ phận nào trong cộng đồng.</w:t>
      </w:r>
    </w:p>
    <w:p w:rsidR="0075020E" w:rsidRPr="00990442" w:rsidRDefault="0075020E" w:rsidP="00437D8D">
      <w:pPr>
        <w:pStyle w:val="BodyTextIndent"/>
        <w:tabs>
          <w:tab w:val="left" w:pos="1440"/>
          <w:tab w:val="left" w:pos="1870"/>
        </w:tabs>
        <w:spacing w:before="100" w:after="0" w:line="300" w:lineRule="atLeast"/>
        <w:ind w:left="1870" w:hanging="990"/>
        <w:rPr>
          <w:rFonts w:ascii="Times New Roman" w:hAnsi="Times New Roman" w:cs="Times New Roman"/>
          <w:sz w:val="24"/>
        </w:rPr>
      </w:pPr>
      <w:r w:rsidRPr="00990442">
        <w:rPr>
          <w:rFonts w:ascii="Times New Roman" w:hAnsi="Times New Roman" w:cs="Times New Roman"/>
          <w:sz w:val="24"/>
        </w:rPr>
        <w:t>d)</w:t>
      </w:r>
      <w:r w:rsidRPr="00990442">
        <w:rPr>
          <w:rFonts w:ascii="Times New Roman" w:hAnsi="Times New Roman" w:cs="Times New Roman"/>
          <w:sz w:val="24"/>
        </w:rPr>
        <w:tab/>
        <w:t>(i)</w:t>
      </w:r>
      <w:r w:rsidRPr="00990442">
        <w:rPr>
          <w:rFonts w:ascii="Times New Roman" w:hAnsi="Times New Roman" w:cs="Times New Roman"/>
          <w:sz w:val="24"/>
        </w:rPr>
        <w:tab/>
        <w:t>mất quyền sở hữu tạm thời hay vĩnh viễn do hành động tịch thu, quốc hữu hóa hoặc trưng dụng của bất kỳ nhà chức trách hợp pháp nào.</w:t>
      </w:r>
    </w:p>
    <w:p w:rsidR="0075020E" w:rsidRPr="00990442" w:rsidRDefault="0075020E" w:rsidP="00437D8D">
      <w:pPr>
        <w:pStyle w:val="BodyTextIndent3"/>
        <w:tabs>
          <w:tab w:val="clear" w:pos="432"/>
          <w:tab w:val="clear" w:pos="864"/>
          <w:tab w:val="left" w:pos="1870"/>
        </w:tabs>
        <w:spacing w:before="100" w:after="0" w:line="300" w:lineRule="atLeast"/>
        <w:ind w:left="1870" w:hanging="440"/>
        <w:rPr>
          <w:sz w:val="24"/>
          <w:szCs w:val="24"/>
        </w:rPr>
      </w:pPr>
      <w:r w:rsidRPr="00990442">
        <w:rPr>
          <w:sz w:val="24"/>
          <w:szCs w:val="24"/>
        </w:rPr>
        <w:t>(ii)</w:t>
      </w:r>
      <w:r w:rsidRPr="00990442">
        <w:rPr>
          <w:sz w:val="24"/>
          <w:szCs w:val="24"/>
        </w:rPr>
        <w:tab/>
        <w:t xml:space="preserve">mất quyền sở hữu tạm thời hay vĩnh viễn đối với bất kỳ ngôi nhà nào phát sinh do tòa nhà đó bị bất kỳ </w:t>
      </w:r>
      <w:r w:rsidRPr="00990442">
        <w:rPr>
          <w:color w:val="000000"/>
          <w:sz w:val="24"/>
          <w:szCs w:val="24"/>
        </w:rPr>
        <w:t>người nào</w:t>
      </w:r>
      <w:r w:rsidRPr="00990442">
        <w:rPr>
          <w:sz w:val="24"/>
          <w:szCs w:val="24"/>
        </w:rPr>
        <w:t xml:space="preserve"> chiếm giữ một cách bất hợp pháp</w:t>
      </w:r>
      <w:r w:rsidRPr="00990442">
        <w:rPr>
          <w:color w:val="000000"/>
          <w:sz w:val="24"/>
          <w:szCs w:val="24"/>
        </w:rPr>
        <w:t>.</w:t>
      </w:r>
    </w:p>
    <w:p w:rsidR="0075020E" w:rsidRPr="00990442" w:rsidRDefault="0075020E" w:rsidP="00437D8D">
      <w:pPr>
        <w:spacing w:before="100" w:after="0" w:line="300" w:lineRule="atLeast"/>
        <w:ind w:left="880"/>
        <w:rPr>
          <w:sz w:val="24"/>
        </w:rPr>
      </w:pPr>
      <w:r w:rsidRPr="00990442">
        <w:rPr>
          <w:sz w:val="24"/>
        </w:rPr>
        <w:t xml:space="preserve">Tuy nhiên, PJICO không được miễn trách nhiệm đối với Người được bảo hiểm về những Thiệt hại của tài sản được bảo hiểm xảy ra trước khi có sự tước quyền sở hữu hay xảy ra trong khi mất quyền sở hữu tạm thời; </w:t>
      </w:r>
    </w:p>
    <w:p w:rsidR="0075020E" w:rsidRPr="00990442" w:rsidRDefault="0075020E" w:rsidP="00437D8D">
      <w:pPr>
        <w:tabs>
          <w:tab w:val="left" w:pos="1430"/>
        </w:tabs>
        <w:spacing w:before="100" w:after="0" w:line="300" w:lineRule="atLeast"/>
        <w:ind w:left="1430" w:hanging="550"/>
        <w:rPr>
          <w:sz w:val="24"/>
        </w:rPr>
      </w:pPr>
      <w:r w:rsidRPr="00990442">
        <w:rPr>
          <w:sz w:val="24"/>
        </w:rPr>
        <w:t>e)</w:t>
      </w:r>
      <w:r w:rsidRPr="00990442">
        <w:rPr>
          <w:sz w:val="24"/>
        </w:rPr>
        <w:tab/>
        <w:t>phá hủy tài sản theo lệnh của bất kỳ nhà chức trách nào.</w:t>
      </w:r>
    </w:p>
    <w:p w:rsidR="0075020E" w:rsidRPr="00990442" w:rsidRDefault="0075020E" w:rsidP="00437D8D">
      <w:pPr>
        <w:spacing w:before="100" w:after="0" w:line="300" w:lineRule="atLeast"/>
        <w:ind w:left="878"/>
        <w:rPr>
          <w:sz w:val="24"/>
        </w:rPr>
      </w:pPr>
      <w:r w:rsidRPr="00990442">
        <w:rPr>
          <w:sz w:val="24"/>
        </w:rPr>
        <w:t xml:space="preserve">Trong bất kỳ trường hợp xảy ra kiện tụng hay hành động pháp lý nào, nếu PJICO cho rằng, do có các điều khoản loại trừ A3(a), A3(b) và A3(c) ở trên mà các tổn thất, phá hủy hay thiệt hại không thuộc phạm vi bồi thường của Quy tắc bảo hiểm này thì trách nhiệm </w:t>
      </w:r>
      <w:r w:rsidRPr="00990442">
        <w:rPr>
          <w:color w:val="000000"/>
          <w:sz w:val="24"/>
        </w:rPr>
        <w:t>chứng minh những tổn thất, thiệt hại hoặc phá hủy đó được bảo hiểm thuộc về Người được bảo hiểm.</w:t>
      </w:r>
    </w:p>
    <w:p w:rsidR="0075020E" w:rsidRPr="00990442" w:rsidRDefault="0075020E" w:rsidP="00437D8D">
      <w:pPr>
        <w:numPr>
          <w:ilvl w:val="0"/>
          <w:numId w:val="2"/>
        </w:numPr>
        <w:tabs>
          <w:tab w:val="clear" w:pos="360"/>
          <w:tab w:val="left" w:pos="851"/>
        </w:tabs>
        <w:spacing w:before="100" w:after="0" w:line="300" w:lineRule="atLeast"/>
        <w:ind w:left="864" w:hanging="432"/>
        <w:rPr>
          <w:b/>
          <w:bCs/>
          <w:sz w:val="24"/>
        </w:rPr>
      </w:pPr>
      <w:r w:rsidRPr="00990442">
        <w:rPr>
          <w:b/>
          <w:bCs/>
          <w:sz w:val="24"/>
        </w:rPr>
        <w:t>Thiệt hại trực tiếp hay gián tiếp gây ra bởi, phát sinh từ hay có thể quy cho:</w:t>
      </w:r>
    </w:p>
    <w:p w:rsidR="0075020E" w:rsidRPr="00990442" w:rsidRDefault="0075020E" w:rsidP="00437D8D">
      <w:pPr>
        <w:tabs>
          <w:tab w:val="left" w:pos="1430"/>
        </w:tabs>
        <w:spacing w:before="100" w:after="0" w:line="300" w:lineRule="atLeast"/>
        <w:ind w:left="1425" w:hanging="547"/>
        <w:rPr>
          <w:sz w:val="24"/>
        </w:rPr>
      </w:pPr>
      <w:r w:rsidRPr="00990442">
        <w:rPr>
          <w:sz w:val="24"/>
        </w:rPr>
        <w:t>a)</w:t>
      </w:r>
      <w:r w:rsidRPr="00990442">
        <w:rPr>
          <w:sz w:val="24"/>
        </w:rPr>
        <w:tab/>
        <w:t>nguyên liệu dùng cho vũ khí hạt nhân;</w:t>
      </w:r>
    </w:p>
    <w:p w:rsidR="0075020E" w:rsidRPr="00990442" w:rsidRDefault="0075020E" w:rsidP="00990442">
      <w:pPr>
        <w:tabs>
          <w:tab w:val="left" w:pos="1430"/>
        </w:tabs>
        <w:spacing w:after="0" w:line="320" w:lineRule="atLeast"/>
        <w:ind w:left="1454" w:hanging="547"/>
        <w:rPr>
          <w:sz w:val="24"/>
        </w:rPr>
      </w:pPr>
      <w:r w:rsidRPr="00990442">
        <w:rPr>
          <w:sz w:val="24"/>
        </w:rPr>
        <w:t>b)</w:t>
      </w:r>
      <w:r w:rsidRPr="00990442">
        <w:rPr>
          <w:sz w:val="24"/>
        </w:rPr>
        <w:tab/>
        <w:t xml:space="preserve">phóng xạ ion hoá hay nhiễm bẩn phóng xạ từ nhiên liệu hạt nhân hay do chất thải hạt nhân do đốt cháy nhiên liệu hạt nhân. Riêng đối với Điểm loại trừ A4(b) này từ “đốt cháy” sẽ bao gồm bất cứ quá trình tự phân hủy nào của phản ứng phân hạch hạt nhân; </w:t>
      </w:r>
    </w:p>
    <w:p w:rsidR="0075020E" w:rsidRPr="00990442" w:rsidRDefault="0075020E" w:rsidP="00990442">
      <w:pPr>
        <w:pStyle w:val="Heading1"/>
        <w:spacing w:before="240" w:after="240" w:line="320" w:lineRule="atLeast"/>
        <w:rPr>
          <w:i/>
          <w:color w:val="000000"/>
        </w:rPr>
      </w:pPr>
      <w:r w:rsidRPr="00990442">
        <w:rPr>
          <w:color w:val="000000"/>
        </w:rPr>
        <w:t>B.</w:t>
      </w:r>
      <w:r w:rsidRPr="00990442">
        <w:rPr>
          <w:color w:val="000000"/>
        </w:rPr>
        <w:tab/>
        <w:t>TÀI SẢN LOẠI TRỪ</w:t>
      </w:r>
    </w:p>
    <w:p w:rsidR="0075020E" w:rsidRPr="00990442" w:rsidRDefault="0075020E" w:rsidP="00990442">
      <w:pPr>
        <w:spacing w:after="0" w:line="320" w:lineRule="atLeast"/>
        <w:ind w:left="446"/>
        <w:rPr>
          <w:sz w:val="24"/>
        </w:rPr>
      </w:pPr>
      <w:r w:rsidRPr="00990442">
        <w:rPr>
          <w:sz w:val="24"/>
        </w:rPr>
        <w:t>Quy tắc bảo hiểm này không bảo hiểm cho:</w:t>
      </w:r>
    </w:p>
    <w:p w:rsidR="0075020E" w:rsidRPr="00990442" w:rsidRDefault="0075020E" w:rsidP="00990442">
      <w:pPr>
        <w:pStyle w:val="BodyTextIndent"/>
        <w:tabs>
          <w:tab w:val="left" w:pos="880"/>
          <w:tab w:val="left" w:pos="1430"/>
        </w:tabs>
        <w:spacing w:before="120" w:after="0" w:line="320" w:lineRule="atLeast"/>
        <w:ind w:left="1430" w:hanging="990"/>
        <w:rPr>
          <w:rFonts w:ascii="Times New Roman" w:hAnsi="Times New Roman" w:cs="Times New Roman"/>
          <w:sz w:val="24"/>
        </w:rPr>
      </w:pPr>
      <w:r w:rsidRPr="00990442">
        <w:rPr>
          <w:rFonts w:ascii="Times New Roman" w:hAnsi="Times New Roman" w:cs="Times New Roman"/>
          <w:sz w:val="24"/>
        </w:rPr>
        <w:t>1.</w:t>
      </w:r>
      <w:r w:rsidRPr="00990442">
        <w:rPr>
          <w:rFonts w:ascii="Times New Roman" w:hAnsi="Times New Roman" w:cs="Times New Roman"/>
          <w:sz w:val="24"/>
        </w:rPr>
        <w:tab/>
        <w:t>a)</w:t>
      </w:r>
      <w:r w:rsidRPr="00990442">
        <w:rPr>
          <w:rFonts w:ascii="Times New Roman" w:hAnsi="Times New Roman" w:cs="Times New Roman"/>
          <w:sz w:val="24"/>
        </w:rPr>
        <w:tab/>
        <w:t xml:space="preserve">tiền bạc, séc, tem, trái phiếu, thẻ tín dụng, chứng khoán hoặc chứng từ bảo lãnh dưới bất kỳ hình thức nào, đồ trang sức, kim loại quý, đá quý, vàng nén, lông thú, vật quý hiếm, sách quý hiếm hoặc tác phẩm nghệ thuật, trừ khi được chấp nhận đặc biệt bằng sửa đổi bổ sung là chúng được bảo hiểm theo Quy tắc bảo hiểm này và trong trường hợp đó, PJICO chỉ chịu trách nhiệm đối với các rủi ro quy định dưới đây; </w:t>
      </w:r>
    </w:p>
    <w:p w:rsidR="0075020E" w:rsidRPr="00990442" w:rsidRDefault="0075020E" w:rsidP="00990442">
      <w:pPr>
        <w:pStyle w:val="BodyTextIndent"/>
        <w:tabs>
          <w:tab w:val="left" w:pos="880"/>
          <w:tab w:val="left" w:pos="1430"/>
        </w:tabs>
        <w:spacing w:before="120" w:after="0" w:line="320" w:lineRule="atLeast"/>
        <w:ind w:left="1430" w:hanging="990"/>
        <w:rPr>
          <w:rFonts w:ascii="Times New Roman" w:hAnsi="Times New Roman" w:cs="Times New Roman"/>
          <w:sz w:val="24"/>
        </w:rPr>
      </w:pPr>
      <w:r w:rsidRPr="00990442">
        <w:rPr>
          <w:rFonts w:ascii="Times New Roman" w:hAnsi="Times New Roman" w:cs="Times New Roman"/>
          <w:sz w:val="24"/>
        </w:rPr>
        <w:tab/>
        <w:t>b)</w:t>
      </w:r>
      <w:r w:rsidRPr="00990442">
        <w:rPr>
          <w:rFonts w:ascii="Times New Roman" w:hAnsi="Times New Roman" w:cs="Times New Roman"/>
          <w:sz w:val="24"/>
        </w:rPr>
        <w:tab/>
        <w:t>kính lắp đặt cố định;</w:t>
      </w:r>
    </w:p>
    <w:p w:rsidR="0075020E" w:rsidRPr="00990442" w:rsidRDefault="0075020E" w:rsidP="00990442">
      <w:pPr>
        <w:pStyle w:val="BodyTextIndent"/>
        <w:tabs>
          <w:tab w:val="left" w:pos="880"/>
          <w:tab w:val="left" w:pos="1430"/>
        </w:tabs>
        <w:spacing w:before="120" w:after="0" w:line="320" w:lineRule="atLeast"/>
        <w:ind w:left="1430" w:hanging="990"/>
        <w:rPr>
          <w:rFonts w:ascii="Times New Roman" w:hAnsi="Times New Roman" w:cs="Times New Roman"/>
          <w:sz w:val="24"/>
        </w:rPr>
      </w:pPr>
      <w:r w:rsidRPr="00990442">
        <w:rPr>
          <w:rFonts w:ascii="Times New Roman" w:hAnsi="Times New Roman" w:cs="Times New Roman"/>
          <w:sz w:val="24"/>
        </w:rPr>
        <w:tab/>
        <w:t>c)</w:t>
      </w:r>
      <w:r w:rsidRPr="00990442">
        <w:rPr>
          <w:rFonts w:ascii="Times New Roman" w:hAnsi="Times New Roman" w:cs="Times New Roman"/>
          <w:sz w:val="24"/>
        </w:rPr>
        <w:tab/>
        <w:t>kính (không phải là kính lắp cố định), đồ sứ, đồ làm bằng đất nung, đá cẩm thạch hay những đồ vật dễ nứt vỡ khác;</w:t>
      </w:r>
    </w:p>
    <w:p w:rsidR="0075020E" w:rsidRPr="00990442" w:rsidRDefault="0075020E" w:rsidP="00990442">
      <w:pPr>
        <w:pStyle w:val="BodyTextIndent"/>
        <w:tabs>
          <w:tab w:val="left" w:pos="880"/>
          <w:tab w:val="left" w:pos="1430"/>
        </w:tabs>
        <w:spacing w:before="120" w:after="0" w:line="320" w:lineRule="atLeast"/>
        <w:ind w:left="1430" w:hanging="990"/>
        <w:rPr>
          <w:rFonts w:ascii="Times New Roman" w:hAnsi="Times New Roman" w:cs="Times New Roman"/>
          <w:sz w:val="24"/>
        </w:rPr>
      </w:pPr>
      <w:r w:rsidRPr="00990442">
        <w:rPr>
          <w:rFonts w:ascii="Times New Roman" w:hAnsi="Times New Roman" w:cs="Times New Roman"/>
          <w:sz w:val="24"/>
        </w:rPr>
        <w:tab/>
        <w:t>d)</w:t>
      </w:r>
      <w:r w:rsidRPr="00990442">
        <w:rPr>
          <w:rFonts w:ascii="Times New Roman" w:hAnsi="Times New Roman" w:cs="Times New Roman"/>
          <w:sz w:val="24"/>
        </w:rPr>
        <w:tab/>
        <w:t>các thiết bị điện tử, máy tính và các thiết bị xử lý dữ liệu;</w:t>
      </w:r>
    </w:p>
    <w:p w:rsidR="0075020E" w:rsidRPr="00990442" w:rsidRDefault="0075020E" w:rsidP="00990442">
      <w:pPr>
        <w:spacing w:after="0" w:line="320" w:lineRule="atLeast"/>
        <w:ind w:left="880"/>
        <w:rPr>
          <w:sz w:val="24"/>
        </w:rPr>
      </w:pPr>
      <w:r w:rsidRPr="00990442">
        <w:rPr>
          <w:sz w:val="24"/>
        </w:rPr>
        <w:t>Nhưng Quy tắc bảo hiểm này không loại trừ các Thiệt hại (trừ khi có loại trừ khác) gây ra bởi cháy, sét đánh, nổ, máy bay rơi, bạo động, bãi công, công nhân bị sa thải tham gia vào các hoạt động gây rối, những người có ác ý, va đập của xe cộ hay súc vật, động đất, bão, lụt, vỡ, tràn hay rò rỉ của bể, thiết bị hay đường ống dẫn nước.</w:t>
      </w:r>
    </w:p>
    <w:p w:rsidR="0075020E" w:rsidRPr="00990442" w:rsidRDefault="0075020E" w:rsidP="00990442">
      <w:pPr>
        <w:pStyle w:val="BodyTextIndent"/>
        <w:tabs>
          <w:tab w:val="left" w:pos="880"/>
        </w:tabs>
        <w:spacing w:before="120" w:after="0" w:line="320" w:lineRule="atLeast"/>
        <w:ind w:left="892" w:hanging="446"/>
        <w:rPr>
          <w:rFonts w:ascii="Times New Roman" w:hAnsi="Times New Roman" w:cs="Times New Roman"/>
          <w:sz w:val="24"/>
        </w:rPr>
      </w:pPr>
      <w:r w:rsidRPr="00990442">
        <w:rPr>
          <w:rFonts w:ascii="Times New Roman" w:hAnsi="Times New Roman" w:cs="Times New Roman"/>
          <w:sz w:val="24"/>
        </w:rPr>
        <w:t>2.</w:t>
      </w:r>
      <w:r w:rsidRPr="00990442">
        <w:rPr>
          <w:rFonts w:ascii="Times New Roman" w:hAnsi="Times New Roman" w:cs="Times New Roman"/>
          <w:sz w:val="24"/>
        </w:rPr>
        <w:tab/>
        <w:t>Hàng hoá nhận ủy thác hay ký gửi hoặc chứng từ, tài liệu, sổ sách kinh doanh, hệ thống dữ liệu máy tính, bản mẫu, mô hình,  khuôn mẫu, bản vẽ, bản thiết kế, chất nổ trừ khi đã được chấp nhận đặc biệt bằng sửa đổi bổ sung là chúng đã được bảo hiểm theo Quy tắc bảo hiểm này.</w:t>
      </w:r>
    </w:p>
    <w:p w:rsidR="0075020E" w:rsidRPr="00990442" w:rsidRDefault="0075020E" w:rsidP="00990442">
      <w:pPr>
        <w:pStyle w:val="BodyTextIndent"/>
        <w:tabs>
          <w:tab w:val="left" w:pos="880"/>
          <w:tab w:val="left" w:pos="1430"/>
        </w:tabs>
        <w:spacing w:before="120" w:after="0" w:line="320" w:lineRule="atLeast"/>
        <w:ind w:left="1430" w:hanging="990"/>
        <w:rPr>
          <w:rFonts w:ascii="Times New Roman" w:hAnsi="Times New Roman" w:cs="Times New Roman"/>
          <w:sz w:val="24"/>
        </w:rPr>
      </w:pPr>
      <w:r w:rsidRPr="00990442">
        <w:rPr>
          <w:rFonts w:ascii="Times New Roman" w:hAnsi="Times New Roman" w:cs="Times New Roman"/>
          <w:sz w:val="24"/>
        </w:rPr>
        <w:t>3.</w:t>
      </w:r>
      <w:r w:rsidRPr="00990442">
        <w:rPr>
          <w:rFonts w:ascii="Times New Roman" w:hAnsi="Times New Roman" w:cs="Times New Roman"/>
          <w:sz w:val="24"/>
        </w:rPr>
        <w:tab/>
        <w:t>a)</w:t>
      </w:r>
      <w:r w:rsidRPr="00990442">
        <w:rPr>
          <w:rFonts w:ascii="Times New Roman" w:hAnsi="Times New Roman" w:cs="Times New Roman"/>
          <w:sz w:val="24"/>
        </w:rPr>
        <w:tab/>
        <w:t>xe cơ giới có giấy phép lưu hành trên đường bộ (bao gồm cả các thiết bị, phụ tùng của xe), các xe kéo, rơ moóc, xe lửa, đầu máy xe lửa hoặc phương tiện lăn trên đường ray, tàu thủy, máy bay, tàu vũ trụ và các phương tiện tương tự;</w:t>
      </w:r>
    </w:p>
    <w:p w:rsidR="0075020E" w:rsidRPr="00990442" w:rsidRDefault="0075020E" w:rsidP="00990442">
      <w:pPr>
        <w:pStyle w:val="BodyTextIndent"/>
        <w:tabs>
          <w:tab w:val="left" w:pos="1430"/>
        </w:tabs>
        <w:spacing w:before="120" w:after="0" w:line="320" w:lineRule="atLeast"/>
        <w:ind w:left="1425" w:hanging="547"/>
        <w:rPr>
          <w:rFonts w:ascii="Times New Roman" w:hAnsi="Times New Roman" w:cs="Times New Roman"/>
          <w:sz w:val="24"/>
        </w:rPr>
      </w:pPr>
      <w:r w:rsidRPr="00990442">
        <w:rPr>
          <w:rFonts w:ascii="Times New Roman" w:hAnsi="Times New Roman" w:cs="Times New Roman"/>
          <w:sz w:val="24"/>
        </w:rPr>
        <w:t>b)</w:t>
      </w:r>
      <w:r w:rsidRPr="00990442">
        <w:rPr>
          <w:rFonts w:ascii="Times New Roman" w:hAnsi="Times New Roman" w:cs="Times New Roman"/>
          <w:sz w:val="24"/>
        </w:rPr>
        <w:tab/>
        <w:t>tài sản đang trong quá trình vận chuyển ngoài phạm vi các khu vực được bảo hiểm như quy định trong GCNBH/Hợp đồng bảo hiểm;</w:t>
      </w:r>
    </w:p>
    <w:p w:rsidR="0075020E" w:rsidRPr="00990442" w:rsidRDefault="0075020E" w:rsidP="00990442">
      <w:pPr>
        <w:pStyle w:val="BodyTextIndent"/>
        <w:tabs>
          <w:tab w:val="left" w:pos="1430"/>
        </w:tabs>
        <w:spacing w:before="120" w:after="0" w:line="320" w:lineRule="atLeast"/>
        <w:ind w:left="1430" w:hanging="550"/>
        <w:rPr>
          <w:rFonts w:ascii="Times New Roman" w:hAnsi="Times New Roman" w:cs="Times New Roman"/>
          <w:sz w:val="24"/>
        </w:rPr>
      </w:pPr>
      <w:r w:rsidRPr="00990442">
        <w:rPr>
          <w:rFonts w:ascii="Times New Roman" w:hAnsi="Times New Roman" w:cs="Times New Roman"/>
          <w:sz w:val="24"/>
        </w:rPr>
        <w:t>c)</w:t>
      </w:r>
      <w:r w:rsidRPr="00990442">
        <w:rPr>
          <w:rFonts w:ascii="Times New Roman" w:hAnsi="Times New Roman" w:cs="Times New Roman"/>
          <w:sz w:val="24"/>
        </w:rPr>
        <w:tab/>
        <w:t>tài sản hoặc cấu trúc đang trong quá trình phá dỡ, xây dựng hay lắp đặt và các nguyên vật  liệu hay những thứ cần thiết khác cần được cung ứng liên quan đến quá trình đó;</w:t>
      </w:r>
    </w:p>
    <w:p w:rsidR="0075020E" w:rsidRPr="00990442" w:rsidRDefault="0075020E" w:rsidP="00990442">
      <w:pPr>
        <w:pStyle w:val="BodyTextIndent"/>
        <w:tabs>
          <w:tab w:val="left" w:pos="1430"/>
        </w:tabs>
        <w:spacing w:before="120" w:after="0" w:line="320" w:lineRule="atLeast"/>
        <w:ind w:left="1425" w:hanging="547"/>
        <w:rPr>
          <w:rFonts w:ascii="Times New Roman" w:hAnsi="Times New Roman" w:cs="Times New Roman"/>
          <w:sz w:val="24"/>
        </w:rPr>
      </w:pPr>
      <w:r w:rsidRPr="00990442">
        <w:rPr>
          <w:rFonts w:ascii="Times New Roman" w:hAnsi="Times New Roman" w:cs="Times New Roman"/>
          <w:sz w:val="24"/>
        </w:rPr>
        <w:t>d)</w:t>
      </w:r>
      <w:r w:rsidRPr="00990442">
        <w:rPr>
          <w:rFonts w:ascii="Times New Roman" w:hAnsi="Times New Roman" w:cs="Times New Roman"/>
          <w:sz w:val="24"/>
        </w:rPr>
        <w:tab/>
        <w:t>đất đai (bao gồm lớp đất trên bề mặt, nền đường, hệ thống thoát nước, cống rãnh), đường dành cho xe chạy, vỉa hè, đường bộ, đường sắt, đường băng, đập, hồ chứa nước, kênh đào, giếng khoan, giếng, đường ống, đường hầm, cầu, cầu cảng, bến cảng, cầu tàu, công trình khai đào, mỏ, các tài sản và tài nguyên trong mỏ, ngoài khơi hoặc dưới lòng đất.</w:t>
      </w:r>
    </w:p>
    <w:p w:rsidR="0075020E" w:rsidRPr="00990442" w:rsidRDefault="0075020E" w:rsidP="00990442">
      <w:pPr>
        <w:pStyle w:val="BodyTextIndent"/>
        <w:tabs>
          <w:tab w:val="left" w:pos="1430"/>
        </w:tabs>
        <w:spacing w:before="120" w:after="0" w:line="320" w:lineRule="atLeast"/>
        <w:ind w:left="1425" w:hanging="547"/>
        <w:rPr>
          <w:rFonts w:ascii="Times New Roman" w:hAnsi="Times New Roman" w:cs="Times New Roman"/>
          <w:sz w:val="24"/>
          <w:lang w:val="es-ES"/>
        </w:rPr>
      </w:pPr>
      <w:r w:rsidRPr="00990442">
        <w:rPr>
          <w:rFonts w:ascii="Times New Roman" w:hAnsi="Times New Roman" w:cs="Times New Roman"/>
          <w:sz w:val="24"/>
          <w:lang w:val="es-ES"/>
        </w:rPr>
        <w:t>e)</w:t>
      </w:r>
      <w:r w:rsidRPr="00990442">
        <w:rPr>
          <w:rFonts w:ascii="Times New Roman" w:hAnsi="Times New Roman" w:cs="Times New Roman"/>
          <w:sz w:val="24"/>
          <w:lang w:val="es-ES"/>
        </w:rPr>
        <w:tab/>
        <w:t>gia súc, mùa màng, cây cối;</w:t>
      </w:r>
    </w:p>
    <w:p w:rsidR="0075020E" w:rsidRPr="00990442" w:rsidRDefault="0075020E" w:rsidP="00990442">
      <w:pPr>
        <w:pStyle w:val="BodyTextIndent"/>
        <w:tabs>
          <w:tab w:val="left" w:pos="1430"/>
        </w:tabs>
        <w:spacing w:before="120" w:after="0" w:line="320" w:lineRule="atLeast"/>
        <w:ind w:left="1425" w:hanging="547"/>
        <w:rPr>
          <w:rFonts w:ascii="Times New Roman" w:hAnsi="Times New Roman" w:cs="Times New Roman"/>
          <w:sz w:val="24"/>
          <w:lang w:val="es-ES"/>
        </w:rPr>
      </w:pPr>
      <w:r w:rsidRPr="00990442">
        <w:rPr>
          <w:rFonts w:ascii="Times New Roman" w:hAnsi="Times New Roman" w:cs="Times New Roman"/>
          <w:sz w:val="24"/>
          <w:lang w:val="es-ES"/>
        </w:rPr>
        <w:t>f)</w:t>
      </w:r>
      <w:r w:rsidRPr="00990442">
        <w:rPr>
          <w:rFonts w:ascii="Times New Roman" w:hAnsi="Times New Roman" w:cs="Times New Roman"/>
          <w:sz w:val="24"/>
          <w:lang w:val="es-ES"/>
        </w:rPr>
        <w:tab/>
        <w:t>tài sản bị thiệt hại do hậu quả trong quá trình chế biến, sản xuất gây ra;</w:t>
      </w:r>
    </w:p>
    <w:p w:rsidR="0075020E" w:rsidRPr="00990442" w:rsidRDefault="0075020E" w:rsidP="00990442">
      <w:pPr>
        <w:pStyle w:val="BodyTextIndent"/>
        <w:tabs>
          <w:tab w:val="left" w:pos="1430"/>
        </w:tabs>
        <w:spacing w:before="120" w:after="0" w:line="320" w:lineRule="atLeast"/>
        <w:ind w:left="1425" w:hanging="547"/>
        <w:rPr>
          <w:rFonts w:ascii="Times New Roman" w:hAnsi="Times New Roman" w:cs="Times New Roman"/>
          <w:sz w:val="24"/>
          <w:lang w:val="es-ES"/>
        </w:rPr>
      </w:pPr>
      <w:r w:rsidRPr="00990442">
        <w:rPr>
          <w:rFonts w:ascii="Times New Roman" w:hAnsi="Times New Roman" w:cs="Times New Roman"/>
          <w:sz w:val="24"/>
          <w:lang w:val="es-ES"/>
        </w:rPr>
        <w:t>g)</w:t>
      </w:r>
      <w:r w:rsidRPr="00990442">
        <w:rPr>
          <w:rFonts w:ascii="Times New Roman" w:hAnsi="Times New Roman" w:cs="Times New Roman"/>
          <w:sz w:val="24"/>
          <w:lang w:val="es-ES"/>
        </w:rPr>
        <w:tab/>
        <w:t>máy móc, thiết bị đang được lắp đặt, di chuyển hoặc thay đổi vị trí (kể cả được tháo dỡ và lắp đặt lại), nếu nguyên nhân của Thiệt hại có thể được quy là do những hoạt động đó trực tiếp gây ra;</w:t>
      </w:r>
    </w:p>
    <w:p w:rsidR="0075020E" w:rsidRPr="00990442" w:rsidRDefault="0075020E" w:rsidP="00990442">
      <w:pPr>
        <w:pStyle w:val="BodyTextIndent"/>
        <w:tabs>
          <w:tab w:val="left" w:pos="1430"/>
        </w:tabs>
        <w:spacing w:before="120" w:after="0" w:line="320" w:lineRule="atLeast"/>
        <w:ind w:left="1425" w:hanging="547"/>
        <w:rPr>
          <w:rFonts w:ascii="Times New Roman" w:hAnsi="Times New Roman" w:cs="Times New Roman"/>
          <w:sz w:val="24"/>
          <w:lang w:val="es-ES"/>
        </w:rPr>
      </w:pPr>
      <w:r w:rsidRPr="00990442">
        <w:rPr>
          <w:rFonts w:ascii="Times New Roman" w:hAnsi="Times New Roman" w:cs="Times New Roman"/>
          <w:sz w:val="24"/>
          <w:lang w:val="es-ES"/>
        </w:rPr>
        <w:t>h)</w:t>
      </w:r>
      <w:r w:rsidRPr="00990442">
        <w:rPr>
          <w:rFonts w:ascii="Times New Roman" w:hAnsi="Times New Roman" w:cs="Times New Roman"/>
          <w:sz w:val="24"/>
          <w:lang w:val="es-ES"/>
        </w:rPr>
        <w:tab/>
        <w:t>tài sản đang trong quá trình thay thế, sửa đổi, sửa chữa, chạy thử, lắp đặt kể cả nguyên vật liệu và những thứ cần thiết cần được cung ứng cho các công việc trên nếu nguyên nhân của Thiệt hại có thể được quy là do những hoạt động hoặc công việc được tiến hành đối với tài sản đó trực tiếp gây ra trừ khi Thiệt hại xảy ra tiếp theo do một nguyên nhân ngoài những nguyên nhân bị loại trừ trong Quy tắc bảo hiểm này gây ra và trong trường hợp đó PJICO chỉ chịu trách nhiệm đối với Thiệt hại xảy ra tiếp theo đó;</w:t>
      </w:r>
    </w:p>
    <w:p w:rsidR="0075020E" w:rsidRPr="00990442" w:rsidRDefault="0075020E" w:rsidP="00990442">
      <w:pPr>
        <w:pStyle w:val="BodyTextIndent"/>
        <w:tabs>
          <w:tab w:val="left" w:pos="1430"/>
        </w:tabs>
        <w:spacing w:before="120" w:after="0" w:line="320" w:lineRule="atLeast"/>
        <w:ind w:left="1430" w:hanging="550"/>
        <w:rPr>
          <w:rFonts w:ascii="Times New Roman" w:hAnsi="Times New Roman" w:cs="Times New Roman"/>
          <w:sz w:val="24"/>
        </w:rPr>
      </w:pPr>
      <w:r w:rsidRPr="00990442">
        <w:rPr>
          <w:rFonts w:ascii="Times New Roman" w:hAnsi="Times New Roman" w:cs="Times New Roman"/>
          <w:sz w:val="24"/>
        </w:rPr>
        <w:t>i)</w:t>
      </w:r>
      <w:r w:rsidRPr="00990442">
        <w:rPr>
          <w:rFonts w:ascii="Times New Roman" w:hAnsi="Times New Roman" w:cs="Times New Roman"/>
          <w:sz w:val="24"/>
        </w:rPr>
        <w:tab/>
        <w:t>tài sản đã được bảo hiểm theo các đơn bảo hiểm cụ thể khác.</w:t>
      </w:r>
    </w:p>
    <w:p w:rsidR="0075020E" w:rsidRPr="00990442" w:rsidRDefault="0075020E" w:rsidP="00990442">
      <w:pPr>
        <w:pStyle w:val="BodyTextIndent"/>
        <w:tabs>
          <w:tab w:val="left" w:pos="880"/>
        </w:tabs>
        <w:spacing w:before="120" w:after="0" w:line="320" w:lineRule="atLeast"/>
        <w:ind w:left="880" w:hanging="440"/>
        <w:rPr>
          <w:rFonts w:ascii="Times New Roman" w:hAnsi="Times New Roman" w:cs="Times New Roman"/>
          <w:sz w:val="24"/>
        </w:rPr>
      </w:pPr>
      <w:r w:rsidRPr="00990442">
        <w:rPr>
          <w:rFonts w:ascii="Times New Roman" w:hAnsi="Times New Roman" w:cs="Times New Roman"/>
          <w:sz w:val="24"/>
        </w:rPr>
        <w:t>4.</w:t>
      </w:r>
      <w:r w:rsidRPr="00990442">
        <w:rPr>
          <w:rFonts w:ascii="Times New Roman" w:hAnsi="Times New Roman" w:cs="Times New Roman"/>
          <w:sz w:val="24"/>
        </w:rPr>
        <w:tab/>
        <w:t>Thiệt hại đối với tài sản mà tại thời điểm xảy ra Thiệt hại tài sản này đã được bảo hiểm hay đáng lẽ phải được bảo hiểm bởi bất kỳ Đơn bảo hiểm hàng hải nào, trừ phần Thiệt hại vượt quá số tiền có thể được bồi thường theo Đơn bảo hiểm hàng hải đó nếu không có Quy tắc bảo hiểm này.</w:t>
      </w:r>
    </w:p>
    <w:p w:rsidR="0075020E" w:rsidRPr="00990442" w:rsidRDefault="0075020E" w:rsidP="00990442">
      <w:pPr>
        <w:pStyle w:val="BodyTextIndent"/>
        <w:tabs>
          <w:tab w:val="left" w:pos="880"/>
        </w:tabs>
        <w:spacing w:before="120" w:after="0" w:line="320" w:lineRule="atLeast"/>
        <w:ind w:left="880" w:hanging="440"/>
        <w:rPr>
          <w:rFonts w:ascii="Times New Roman" w:hAnsi="Times New Roman" w:cs="Times New Roman"/>
          <w:sz w:val="24"/>
        </w:rPr>
      </w:pPr>
      <w:r w:rsidRPr="00990442">
        <w:rPr>
          <w:rFonts w:ascii="Times New Roman" w:hAnsi="Times New Roman" w:cs="Times New Roman"/>
          <w:sz w:val="24"/>
        </w:rPr>
        <w:t>5.</w:t>
      </w:r>
      <w:r w:rsidRPr="00990442">
        <w:rPr>
          <w:rFonts w:ascii="Times New Roman" w:hAnsi="Times New Roman" w:cs="Times New Roman"/>
          <w:sz w:val="24"/>
        </w:rPr>
        <w:tab/>
        <w:t>Thiệt hại đối với nồi hơi, bình đun nước bằng hơi tiết kiệm, tua bin hay các máy móc thiết bị khác mà trong đó có sử dụng áp suất hoặc đối với những chất liệu bên trong chúng do chúng bị nổ hoặc vỡ.</w:t>
      </w:r>
    </w:p>
    <w:p w:rsidR="0075020E" w:rsidRPr="00990442" w:rsidRDefault="0075020E" w:rsidP="00990442">
      <w:pPr>
        <w:pStyle w:val="Heading1"/>
        <w:spacing w:before="120" w:after="0" w:line="320" w:lineRule="atLeast"/>
      </w:pPr>
      <w:r w:rsidRPr="00990442">
        <w:t>NHỮNG ĐIỀU KIỆN CHUNG</w:t>
      </w:r>
    </w:p>
    <w:p w:rsidR="0075020E" w:rsidRPr="00990442" w:rsidRDefault="0075020E" w:rsidP="00990442">
      <w:pPr>
        <w:numPr>
          <w:ilvl w:val="0"/>
          <w:numId w:val="3"/>
        </w:numPr>
        <w:tabs>
          <w:tab w:val="clear" w:pos="720"/>
          <w:tab w:val="num" w:pos="450"/>
        </w:tabs>
        <w:spacing w:before="240" w:after="240" w:line="320" w:lineRule="atLeast"/>
        <w:ind w:left="446" w:hanging="446"/>
        <w:rPr>
          <w:b/>
          <w:bCs/>
          <w:iCs/>
          <w:sz w:val="24"/>
        </w:rPr>
      </w:pPr>
      <w:r w:rsidRPr="00990442">
        <w:rPr>
          <w:b/>
          <w:bCs/>
          <w:iCs/>
          <w:sz w:val="24"/>
        </w:rPr>
        <w:t xml:space="preserve">TÍNH ĐỒNG NHẤT </w:t>
      </w:r>
    </w:p>
    <w:p w:rsidR="0075020E" w:rsidRPr="00990442" w:rsidRDefault="0075020E" w:rsidP="00990442">
      <w:pPr>
        <w:spacing w:after="0" w:line="320" w:lineRule="atLeast"/>
        <w:ind w:left="446"/>
        <w:rPr>
          <w:sz w:val="24"/>
        </w:rPr>
      </w:pPr>
      <w:r w:rsidRPr="00990442">
        <w:rPr>
          <w:sz w:val="24"/>
        </w:rPr>
        <w:t>Quy tắc bảo hiểm, GCNBH/Hợp đồng bảo hiểm và Bảng danh mục tài sản, là những bộ phận hợp thành không thể tách rời của bộ hợp đồng bảo hiểm này và tại bất kỳ vị trí nào trong các bộ phận trên, bất cứ từ và cụm từ nào được gán cho một ý nghĩa đặc biệt nào đó thì từ và cụm từ đó vẫn tiếp tục mang ý nghĩa đó dù chúng xuất hiện ở bất cứ chỗ nào trong Quy tắc bảo hiểm, GCNBH/Hợp đồng bảo hiểm và Bảng danh mục tài sản.</w:t>
      </w:r>
    </w:p>
    <w:p w:rsidR="0075020E" w:rsidRPr="00990442" w:rsidRDefault="0075020E" w:rsidP="00990442">
      <w:pPr>
        <w:numPr>
          <w:ilvl w:val="0"/>
          <w:numId w:val="3"/>
        </w:numPr>
        <w:tabs>
          <w:tab w:val="clear" w:pos="720"/>
          <w:tab w:val="num" w:pos="450"/>
        </w:tabs>
        <w:spacing w:before="240" w:after="240" w:line="320" w:lineRule="atLeast"/>
        <w:ind w:left="446" w:hanging="446"/>
        <w:rPr>
          <w:b/>
          <w:bCs/>
          <w:iCs/>
          <w:sz w:val="24"/>
        </w:rPr>
      </w:pPr>
      <w:r w:rsidRPr="00990442">
        <w:rPr>
          <w:b/>
          <w:bCs/>
          <w:iCs/>
          <w:sz w:val="24"/>
        </w:rPr>
        <w:t>MÔ TẢ SAI TÀI SẢN</w:t>
      </w:r>
    </w:p>
    <w:p w:rsidR="0075020E" w:rsidRPr="00990442" w:rsidRDefault="0075020E" w:rsidP="00990442">
      <w:pPr>
        <w:spacing w:after="0" w:line="320" w:lineRule="atLeast"/>
        <w:ind w:left="446"/>
        <w:rPr>
          <w:sz w:val="24"/>
        </w:rPr>
      </w:pPr>
      <w:r w:rsidRPr="00990442">
        <w:rPr>
          <w:sz w:val="24"/>
        </w:rPr>
        <w:t>Nếu Người được bảo hiểm hay đại diện của Người được bảo hiểm cung cấp những mô tả sai lệch nghiêm trọng có liên quan đến tài sản được bảo hiểm hoặc có liên quan đến các  tòa nhà hoặc địa điểm chứa đựng những tài sản đó, hoặc về ngành nghề kinh doanh hoặc địa điểm được bảo hiểm hoặc kê khai về bất kỳ thông tin nào cần phải biết để đánh giá rủi ro hoặc không khai báo về những thông tin đó thì  PJICO sẽ không chịu trách nhiệm đối với các tài sản bị ảnh hưởng bởi sự mô tả sai, khai báo sai hoặc không khai báo đó.</w:t>
      </w:r>
    </w:p>
    <w:p w:rsidR="0075020E" w:rsidRPr="00990442" w:rsidRDefault="0075020E" w:rsidP="00990442">
      <w:pPr>
        <w:numPr>
          <w:ilvl w:val="0"/>
          <w:numId w:val="3"/>
        </w:numPr>
        <w:tabs>
          <w:tab w:val="clear" w:pos="720"/>
          <w:tab w:val="num" w:pos="450"/>
        </w:tabs>
        <w:spacing w:before="240" w:after="240" w:line="320" w:lineRule="atLeast"/>
        <w:ind w:left="446" w:hanging="446"/>
        <w:rPr>
          <w:b/>
          <w:bCs/>
          <w:iCs/>
          <w:sz w:val="24"/>
        </w:rPr>
      </w:pPr>
      <w:r w:rsidRPr="00990442">
        <w:rPr>
          <w:b/>
          <w:bCs/>
          <w:iCs/>
          <w:sz w:val="24"/>
        </w:rPr>
        <w:t>CHẤM DỨT HIỆU LỰC BẢO HIỂM</w:t>
      </w:r>
    </w:p>
    <w:p w:rsidR="0075020E" w:rsidRPr="00990442" w:rsidRDefault="0075020E" w:rsidP="00990442">
      <w:pPr>
        <w:tabs>
          <w:tab w:val="left" w:pos="432"/>
        </w:tabs>
        <w:spacing w:after="0" w:line="320" w:lineRule="atLeast"/>
        <w:ind w:left="432"/>
        <w:rPr>
          <w:sz w:val="24"/>
        </w:rPr>
      </w:pPr>
      <w:r w:rsidRPr="00990442">
        <w:rPr>
          <w:sz w:val="24"/>
        </w:rPr>
        <w:t>Hiệu lực của Bộ hợp đồng bảo hiểm này có thể được chấm dứt vào bất kỳ thời điểm nào theo yêu cầu của  Người được bảo hiểm. Trong trường hợp đó,  PJICO sẽ giữ lại phần phí bảo hiểm được tính trên cơ sở tỷ lệ phí ngắn hạn theo thông lệ cho thời gian GCNBH/Hợp đồng bảo hiểm đã có hiệu lực. PJICO cũng có thể quyết định chấm dứt hiệu lực của Bộ hợp đồng bảo hiểm này bằng cách thông báo bằng văn bản cho Người được bảo hiểm biết về việc chấm dứt và có trách nhiệm hoàn trả một phần phí bảo hiểm được tính theo tỷ lệ tương ứng với thời gian từ ngày thông báo chấm dứt cho đến ngày kết thúc hiệu lực bảo hiểm ghi trong GCNBH/Hợp đồng bảo hiểm.</w:t>
      </w:r>
    </w:p>
    <w:p w:rsidR="0075020E" w:rsidRPr="00990442" w:rsidRDefault="0075020E" w:rsidP="00990442">
      <w:pPr>
        <w:numPr>
          <w:ilvl w:val="0"/>
          <w:numId w:val="3"/>
        </w:numPr>
        <w:tabs>
          <w:tab w:val="clear" w:pos="720"/>
          <w:tab w:val="num" w:pos="450"/>
        </w:tabs>
        <w:spacing w:before="240" w:after="240" w:line="320" w:lineRule="atLeast"/>
        <w:ind w:left="446" w:hanging="446"/>
        <w:rPr>
          <w:b/>
          <w:bCs/>
          <w:iCs/>
          <w:sz w:val="24"/>
        </w:rPr>
      </w:pPr>
      <w:r w:rsidRPr="00990442">
        <w:rPr>
          <w:b/>
          <w:bCs/>
          <w:iCs/>
          <w:sz w:val="24"/>
        </w:rPr>
        <w:t>MẤT QUYỀN LỢI</w:t>
      </w:r>
    </w:p>
    <w:p w:rsidR="0075020E" w:rsidRPr="00990442" w:rsidRDefault="0075020E" w:rsidP="00990442">
      <w:pPr>
        <w:tabs>
          <w:tab w:val="left" w:pos="432"/>
        </w:tabs>
        <w:spacing w:after="0" w:line="320" w:lineRule="atLeast"/>
        <w:ind w:left="446"/>
        <w:rPr>
          <w:sz w:val="24"/>
        </w:rPr>
      </w:pPr>
      <w:r w:rsidRPr="00990442">
        <w:rPr>
          <w:color w:val="000000"/>
          <w:sz w:val="24"/>
        </w:rPr>
        <w:t>Tất cả quyền</w:t>
      </w:r>
      <w:r w:rsidRPr="00990442">
        <w:rPr>
          <w:sz w:val="24"/>
        </w:rPr>
        <w:t xml:space="preserve"> lợi theo Bộ hợp đồng bảo hiểm này sẽ bị mặc nhiên hủy bỏ:</w:t>
      </w:r>
    </w:p>
    <w:p w:rsidR="0075020E" w:rsidRPr="00990442" w:rsidRDefault="0075020E" w:rsidP="00990442">
      <w:pPr>
        <w:numPr>
          <w:ilvl w:val="0"/>
          <w:numId w:val="4"/>
        </w:numPr>
        <w:tabs>
          <w:tab w:val="clear" w:pos="1440"/>
          <w:tab w:val="num" w:pos="851"/>
        </w:tabs>
        <w:spacing w:after="0" w:line="320" w:lineRule="atLeast"/>
        <w:ind w:left="850" w:hanging="418"/>
        <w:rPr>
          <w:sz w:val="24"/>
        </w:rPr>
      </w:pPr>
      <w:r w:rsidRPr="00990442">
        <w:rPr>
          <w:sz w:val="24"/>
        </w:rPr>
        <w:t>Nếu bất kỳ khiếu nại nào theo Bộ hợp đồng bảo hiểm này có sự man trá về bất kỳ khía cạnh nào hoặc có bất kỳ sự khai báo sai được tạo dựng lên hay được dùng để hỗ trợ cho khiếu nại đó, hoặc Người được bảo hiểm hay người đại diện cho Người được bảo hiểm sử dụng phương tiện hay thủ đoạn gian lận nhằm trục lợi qua Bộ hợp đồng bảo hiểm này;</w:t>
      </w:r>
    </w:p>
    <w:p w:rsidR="0075020E" w:rsidRPr="00990442" w:rsidRDefault="0075020E" w:rsidP="00990442">
      <w:pPr>
        <w:spacing w:after="0" w:line="320" w:lineRule="atLeast"/>
        <w:ind w:left="432"/>
        <w:rPr>
          <w:sz w:val="24"/>
        </w:rPr>
      </w:pPr>
      <w:r w:rsidRPr="00990442">
        <w:rPr>
          <w:sz w:val="24"/>
        </w:rPr>
        <w:t>hoặc</w:t>
      </w:r>
    </w:p>
    <w:p w:rsidR="0075020E" w:rsidRPr="00990442" w:rsidRDefault="0075020E" w:rsidP="00990442">
      <w:pPr>
        <w:numPr>
          <w:ilvl w:val="0"/>
          <w:numId w:val="4"/>
        </w:numPr>
        <w:tabs>
          <w:tab w:val="clear" w:pos="1440"/>
          <w:tab w:val="num" w:pos="851"/>
        </w:tabs>
        <w:spacing w:after="0" w:line="320" w:lineRule="atLeast"/>
        <w:ind w:left="850" w:hanging="418"/>
        <w:rPr>
          <w:sz w:val="24"/>
        </w:rPr>
      </w:pPr>
      <w:r w:rsidRPr="00990442">
        <w:rPr>
          <w:sz w:val="24"/>
        </w:rPr>
        <w:t xml:space="preserve">Nếu bất kỳ khiếu nại nào được đưa ra và bị khước từ mà không có kiện cáo </w:t>
      </w:r>
      <w:r w:rsidRPr="00990442">
        <w:rPr>
          <w:color w:val="000000"/>
          <w:sz w:val="24"/>
        </w:rPr>
        <w:t>hoặc tố tụng trong vòng 3 tháng kể từ khi có sự khước từ đó, hoặc (trong trường hợp phải đưa ra trọng tài</w:t>
      </w:r>
      <w:r w:rsidRPr="00990442">
        <w:rPr>
          <w:sz w:val="24"/>
        </w:rPr>
        <w:t xml:space="preserve"> theo Điều 7 của Quy tắc bảo hiểm này) trong vòng 3 tháng kể từ khi trọng tài hoặc trọng tài chung đưa ra phán quyết.</w:t>
      </w:r>
    </w:p>
    <w:p w:rsidR="0075020E" w:rsidRPr="00990442" w:rsidRDefault="0075020E" w:rsidP="00990442">
      <w:pPr>
        <w:numPr>
          <w:ilvl w:val="0"/>
          <w:numId w:val="3"/>
        </w:numPr>
        <w:tabs>
          <w:tab w:val="clear" w:pos="720"/>
          <w:tab w:val="num" w:pos="450"/>
        </w:tabs>
        <w:spacing w:before="240" w:after="240" w:line="320" w:lineRule="atLeast"/>
        <w:ind w:left="446" w:hanging="446"/>
        <w:rPr>
          <w:b/>
          <w:bCs/>
          <w:iCs/>
          <w:sz w:val="24"/>
        </w:rPr>
      </w:pPr>
      <w:r w:rsidRPr="00990442">
        <w:rPr>
          <w:b/>
          <w:bCs/>
          <w:iCs/>
          <w:sz w:val="24"/>
        </w:rPr>
        <w:t>THẾ QUYỀN BỒI THƯỜNG</w:t>
      </w:r>
    </w:p>
    <w:p w:rsidR="0075020E" w:rsidRPr="00990442" w:rsidRDefault="0075020E" w:rsidP="00990442">
      <w:pPr>
        <w:widowControl w:val="0"/>
        <w:tabs>
          <w:tab w:val="left" w:pos="432"/>
        </w:tabs>
        <w:spacing w:after="0" w:line="320" w:lineRule="atLeast"/>
        <w:ind w:left="432"/>
        <w:rPr>
          <w:sz w:val="24"/>
        </w:rPr>
      </w:pPr>
      <w:r w:rsidRPr="00990442">
        <w:rPr>
          <w:sz w:val="24"/>
        </w:rPr>
        <w:t xml:space="preserve">Bất kỳ người khiếu nại nào theo Quy tắc bảo hiểm, bằng chi phí của PJICO, phải tiến hành, đồng ý tiến hành và cho phép tiến hành mọi hành động và công việc cần thiết hoặc do PJICO yêu cầu một cách hợp lý nhằm thực thi bất kỳ quyền hạn và biện pháp nào, hoặc nhằm có được sự đền bù hay bồi thường từ những bên thứ ba mà PJICO có quyền hoặc phải được thế quyền thụ hưởng sau khi PJICO thanh toán hay sửa chữa tổn thất theo Quy tắc bảo hiểm này. Tuy nhiên, các công việc đó có thể được tiến hành hay được yêu cầu tiến hành trước hay sau khi PJICO bồi thường cho Người được bảo hiểm. </w:t>
      </w:r>
    </w:p>
    <w:p w:rsidR="0075020E" w:rsidRPr="00990442" w:rsidRDefault="0075020E" w:rsidP="00990442">
      <w:pPr>
        <w:numPr>
          <w:ilvl w:val="0"/>
          <w:numId w:val="3"/>
        </w:numPr>
        <w:tabs>
          <w:tab w:val="clear" w:pos="720"/>
          <w:tab w:val="num" w:pos="450"/>
        </w:tabs>
        <w:spacing w:before="240" w:after="240" w:line="320" w:lineRule="atLeast"/>
        <w:ind w:left="446" w:hanging="446"/>
        <w:rPr>
          <w:b/>
          <w:bCs/>
          <w:iCs/>
          <w:sz w:val="24"/>
        </w:rPr>
      </w:pPr>
      <w:r w:rsidRPr="00990442">
        <w:rPr>
          <w:b/>
          <w:sz w:val="24"/>
        </w:rPr>
        <w:tab/>
        <w:t xml:space="preserve">ĐÓNG GÓP </w:t>
      </w:r>
      <w:r w:rsidRPr="00990442">
        <w:rPr>
          <w:b/>
          <w:bCs/>
          <w:iCs/>
          <w:sz w:val="24"/>
        </w:rPr>
        <w:t>BỒI</w:t>
      </w:r>
      <w:r w:rsidRPr="00990442">
        <w:rPr>
          <w:b/>
          <w:sz w:val="24"/>
        </w:rPr>
        <w:t xml:space="preserve"> THƯỜNG </w:t>
      </w:r>
    </w:p>
    <w:p w:rsidR="0075020E" w:rsidRPr="00990442" w:rsidRDefault="0075020E" w:rsidP="00990442">
      <w:pPr>
        <w:widowControl w:val="0"/>
        <w:spacing w:after="0" w:line="320" w:lineRule="atLeast"/>
        <w:ind w:left="432" w:hanging="432"/>
        <w:rPr>
          <w:sz w:val="24"/>
        </w:rPr>
      </w:pPr>
      <w:r w:rsidRPr="00990442">
        <w:rPr>
          <w:sz w:val="24"/>
        </w:rPr>
        <w:tab/>
        <w:t>Nếu vào thời điểm tài sản được bảo hiểm theo Bộ hợp đồng bảo hiểm này bị tổn thất hoặc thiệt hại, có bất kỳ một hay nhiều Đơn bảo hiểm nào khác đang có hiệu lực do Người Được Bảo Hiểm hoặc bất kỳ người nào khác thu xếp cùng bảo hiểm cho toàn bộ hay một phần của tổn thất đó hoặc cho cùng tài sản, khi đó PJICO sẽ không có trách nhiệm đóng góp hay bồi thường nhiều hơn phần tổn thất được tính theo tỷ lệ tương ứng của mình đối với tổn thất hay thiệt hại đó.</w:t>
      </w:r>
    </w:p>
    <w:p w:rsidR="0075020E" w:rsidRPr="00990442" w:rsidRDefault="0075020E" w:rsidP="00990442">
      <w:pPr>
        <w:numPr>
          <w:ilvl w:val="0"/>
          <w:numId w:val="3"/>
        </w:numPr>
        <w:tabs>
          <w:tab w:val="clear" w:pos="720"/>
          <w:tab w:val="num" w:pos="450"/>
        </w:tabs>
        <w:spacing w:before="240" w:after="240" w:line="320" w:lineRule="atLeast"/>
        <w:ind w:left="446" w:hanging="446"/>
        <w:rPr>
          <w:b/>
          <w:bCs/>
          <w:iCs/>
          <w:sz w:val="24"/>
        </w:rPr>
      </w:pPr>
      <w:r w:rsidRPr="00990442">
        <w:rPr>
          <w:color w:val="FF0000"/>
          <w:sz w:val="24"/>
        </w:rPr>
        <w:tab/>
      </w:r>
      <w:r w:rsidRPr="00990442">
        <w:rPr>
          <w:b/>
          <w:bCs/>
          <w:iCs/>
          <w:color w:val="000000"/>
          <w:sz w:val="24"/>
        </w:rPr>
        <w:t>TRỌNG TÀI</w:t>
      </w:r>
    </w:p>
    <w:p w:rsidR="0075020E" w:rsidRPr="00990442" w:rsidRDefault="0075020E" w:rsidP="00990442">
      <w:pPr>
        <w:tabs>
          <w:tab w:val="left" w:pos="432"/>
        </w:tabs>
        <w:spacing w:after="0" w:line="320" w:lineRule="atLeast"/>
        <w:ind w:left="432"/>
        <w:rPr>
          <w:sz w:val="24"/>
        </w:rPr>
      </w:pPr>
      <w:r w:rsidRPr="00990442">
        <w:rPr>
          <w:sz w:val="24"/>
        </w:rPr>
        <w:t xml:space="preserve">Nếu phát sinh bất kỳ tranh chấp nào về số tiền bồi thường theo Bộ hợp đồng bảo hiểm này thì tranh chấp đó – không bị ràng buộc bởi bất kỳ vấn đề nào khác - sẽ được chuyển cho một trọng tài quyết định. Trọng tài này do hai bên chỉ định bằng văn bản hoặc, nếu hai bên không đồng ý chọn một trọng tài chung thì tranh chấp đó sẽ được chuyển cho hai trọng tài mà mỗi bên chỉ định một người bằng văn bản trong vòng 2 tháng kể từ khi một trong hai bên gửi văn bản yêu cầu phía bên kia cũng làm như vậy. Trong trường hợp một trong hai bên từ chối hoặc không chỉ định một trọng tài trong vòng 2 tháng sau khi nhận được thông báo bằng văn bản yêu cầu việc chỉ định đó thì bên kia có quyền chỉ định trọng tài duy nhất, và trong trường hợp giữa hai trọng tài có sự bất đồng thì tranh chấp phải được chuyển cho một trọng tài chung do các trọng tài đó chỉ định bằng văn bản trước khi đưa tranh chấp ra giải quyết. Trọng tài chung sẽ ngồi với hai trọng tài kia và chủ tọa các cuộc họp của họ nhằm giải quyết tranh chấp. Bất kỳ bên nào bị chết cũng sẽ không làm mất hiệu lực hay tác động đến thẩm quyền hay quyền hạn của các trọng tài hoặc trọng tài chung như đề cập ở trên. Trong trường hợp trọng tài do bên nào đã chỉ định bị chết thì bên đó sẽ chỉ định một người khác để thay thế. Trong trường hợp trọng tài chung bị chết thì các trọng tài do hai bên đã chỉ định sẽ chỉ định một người khác để thay thế. </w:t>
      </w:r>
      <w:r w:rsidRPr="00990442">
        <w:rPr>
          <w:color w:val="000000"/>
          <w:sz w:val="24"/>
        </w:rPr>
        <w:t>Chi phí trọng tài</w:t>
      </w:r>
      <w:r w:rsidRPr="00990442">
        <w:rPr>
          <w:color w:val="FF0000"/>
          <w:sz w:val="24"/>
        </w:rPr>
        <w:t xml:space="preserve"> </w:t>
      </w:r>
      <w:r w:rsidRPr="00990442">
        <w:rPr>
          <w:sz w:val="24"/>
        </w:rPr>
        <w:t xml:space="preserve">và chi phí để đạt được phán quyết sẽ do trọng tài hoặc trọng tài chung đưa ra phán quyết quyết định. Điều kiện tiên quyết đối với bất kỳ quyền tố tụng hoặc khởi kiện nào theo Quy tắc bảo hiểm này trước hết phải có phán quyết của trọng tài hoặc trọng tài chung về số tiền tổn thất hoặc thiệt hại, nếu có tranh chấp. </w:t>
      </w:r>
    </w:p>
    <w:p w:rsidR="0075020E" w:rsidRPr="00990442" w:rsidRDefault="0075020E" w:rsidP="00990442">
      <w:pPr>
        <w:numPr>
          <w:ilvl w:val="0"/>
          <w:numId w:val="3"/>
        </w:numPr>
        <w:tabs>
          <w:tab w:val="clear" w:pos="720"/>
          <w:tab w:val="num" w:pos="450"/>
        </w:tabs>
        <w:spacing w:before="240" w:after="240" w:line="320" w:lineRule="atLeast"/>
        <w:ind w:left="446" w:hanging="446"/>
        <w:rPr>
          <w:b/>
          <w:bCs/>
          <w:iCs/>
          <w:sz w:val="24"/>
        </w:rPr>
      </w:pPr>
      <w:r w:rsidRPr="00990442">
        <w:rPr>
          <w:sz w:val="24"/>
        </w:rPr>
        <w:tab/>
      </w:r>
      <w:r w:rsidRPr="00990442">
        <w:rPr>
          <w:b/>
          <w:bCs/>
          <w:iCs/>
          <w:sz w:val="24"/>
        </w:rPr>
        <w:t>THAY ĐỔI VÀ DI CHUYỂN</w:t>
      </w:r>
    </w:p>
    <w:p w:rsidR="0075020E" w:rsidRPr="00990442" w:rsidRDefault="0075020E" w:rsidP="00990442">
      <w:pPr>
        <w:tabs>
          <w:tab w:val="left" w:pos="432"/>
        </w:tabs>
        <w:spacing w:after="0" w:line="320" w:lineRule="atLeast"/>
        <w:ind w:left="432"/>
        <w:rPr>
          <w:sz w:val="24"/>
        </w:rPr>
      </w:pPr>
      <w:r w:rsidRPr="00990442">
        <w:rPr>
          <w:sz w:val="24"/>
        </w:rPr>
        <w:t>Trong bất kỳ tình huống nào sau đây Bộ hợp đồng bảo hiểm này cũng sẽ không còn hiệu lực đối với tài sản bị thiệt hại trừ khi trước khi xảy ra bất kỳ tổn thất hoặc thiệt hại nào Người được bảo hiểm đã được sự chấp thuận của PJICO về các tình huống đó bằng điều khoản bổ sung theo Quy tắc bảo hiểm này do PJICO hoặc đại diện của  PJICO ký trên đó:</w:t>
      </w:r>
    </w:p>
    <w:p w:rsidR="0075020E" w:rsidRPr="00990442" w:rsidRDefault="0075020E" w:rsidP="00990442">
      <w:pPr>
        <w:numPr>
          <w:ilvl w:val="0"/>
          <w:numId w:val="9"/>
        </w:numPr>
        <w:tabs>
          <w:tab w:val="left" w:pos="432"/>
        </w:tabs>
        <w:spacing w:after="0" w:line="320" w:lineRule="atLeast"/>
        <w:rPr>
          <w:sz w:val="24"/>
        </w:rPr>
      </w:pPr>
      <w:r w:rsidRPr="00990442">
        <w:rPr>
          <w:sz w:val="24"/>
        </w:rPr>
        <w:t xml:space="preserve">Ngành nghề kinh doanh hay sản xuất của Người được bảo hiểm bị thay đổi, hay nếu tính chất nghề nghiệp hay các hoàn cảnh khác gây ảnh hưởng tới ngôi nhà được bảo hiểm hay ngôi nhà chứa tài sản được bảo hiểm làm tăng khả năng xảy ra tổn thất hay thiệt hại;  </w:t>
      </w:r>
    </w:p>
    <w:p w:rsidR="0075020E" w:rsidRPr="00990442" w:rsidRDefault="0075020E" w:rsidP="00990442">
      <w:pPr>
        <w:numPr>
          <w:ilvl w:val="0"/>
          <w:numId w:val="9"/>
        </w:numPr>
        <w:spacing w:after="0" w:line="320" w:lineRule="atLeast"/>
        <w:rPr>
          <w:sz w:val="24"/>
        </w:rPr>
      </w:pPr>
      <w:r w:rsidRPr="00990442">
        <w:rPr>
          <w:sz w:val="24"/>
        </w:rPr>
        <w:t>Nếu ngôi nhà được bảo hiểm hay ngôi nhà chứa các tài sản được bảo hiểm bị bỏ trống trong thời hạn từ 30 ngày trở lên;</w:t>
      </w:r>
    </w:p>
    <w:p w:rsidR="0075020E" w:rsidRPr="00990442" w:rsidRDefault="0075020E" w:rsidP="00990442">
      <w:pPr>
        <w:numPr>
          <w:ilvl w:val="0"/>
          <w:numId w:val="9"/>
        </w:numPr>
        <w:spacing w:after="0" w:line="320" w:lineRule="atLeast"/>
        <w:rPr>
          <w:sz w:val="24"/>
        </w:rPr>
      </w:pPr>
      <w:r w:rsidRPr="00990442">
        <w:rPr>
          <w:color w:val="FF0000"/>
          <w:sz w:val="24"/>
        </w:rPr>
        <w:t>Nếu tài sản được</w:t>
      </w:r>
      <w:r w:rsidRPr="00990442">
        <w:rPr>
          <w:sz w:val="24"/>
        </w:rPr>
        <w:t xml:space="preserve"> bảo hiểm bị di chuyển đến các địa điểm khác ngoài ngôi nhà hay địa điểm được bảo hiểm theo Quy tắc bảo hiểm này.</w:t>
      </w:r>
    </w:p>
    <w:p w:rsidR="0075020E" w:rsidRPr="00990442" w:rsidRDefault="0075020E" w:rsidP="00990442">
      <w:pPr>
        <w:numPr>
          <w:ilvl w:val="0"/>
          <w:numId w:val="9"/>
        </w:numPr>
        <w:spacing w:after="0" w:line="320" w:lineRule="atLeast"/>
        <w:rPr>
          <w:sz w:val="24"/>
        </w:rPr>
      </w:pPr>
      <w:r w:rsidRPr="00990442">
        <w:rPr>
          <w:sz w:val="24"/>
        </w:rPr>
        <w:t>Nếu quyền lợi của Người được bảo hiểm đối với các tài sản được bảo hiểm được chuyển nhượng sang cho người nào khác trừ khi việc đó được thực hiện theo di chúc hay theo pháp luật.</w:t>
      </w:r>
    </w:p>
    <w:p w:rsidR="0075020E" w:rsidRPr="00990442" w:rsidRDefault="0075020E" w:rsidP="00990442">
      <w:pPr>
        <w:numPr>
          <w:ilvl w:val="0"/>
          <w:numId w:val="3"/>
        </w:numPr>
        <w:tabs>
          <w:tab w:val="clear" w:pos="720"/>
          <w:tab w:val="num" w:pos="450"/>
        </w:tabs>
        <w:spacing w:before="240" w:after="240" w:line="320" w:lineRule="atLeast"/>
        <w:ind w:left="446" w:hanging="446"/>
        <w:rPr>
          <w:sz w:val="24"/>
        </w:rPr>
      </w:pPr>
      <w:r w:rsidRPr="00990442">
        <w:rPr>
          <w:sz w:val="24"/>
        </w:rPr>
        <w:tab/>
      </w:r>
      <w:r w:rsidRPr="00990442">
        <w:rPr>
          <w:b/>
          <w:sz w:val="24"/>
        </w:rPr>
        <w:t>KHIẾU NẠI BỒI THƯỜNG</w:t>
      </w:r>
      <w:r w:rsidRPr="00990442">
        <w:rPr>
          <w:sz w:val="24"/>
        </w:rPr>
        <w:t>:</w:t>
      </w:r>
    </w:p>
    <w:p w:rsidR="0075020E" w:rsidRPr="00990442" w:rsidRDefault="0075020E" w:rsidP="00990442">
      <w:pPr>
        <w:tabs>
          <w:tab w:val="left" w:pos="432"/>
        </w:tabs>
        <w:spacing w:after="0" w:line="320" w:lineRule="atLeast"/>
        <w:ind w:left="432"/>
        <w:rPr>
          <w:sz w:val="24"/>
        </w:rPr>
      </w:pPr>
      <w:r w:rsidRPr="00990442">
        <w:rPr>
          <w:sz w:val="24"/>
        </w:rPr>
        <w:t xml:space="preserve">Khi Người được bảo hiểm nhận biết được các sự cố dẫn đến hoặc có thể dẫn đến khiếu nại theo Quy tắc bảo hiểm, Người được bảo hiểm phải: </w:t>
      </w:r>
    </w:p>
    <w:p w:rsidR="0075020E" w:rsidRPr="00990442" w:rsidRDefault="0075020E" w:rsidP="00990442">
      <w:pPr>
        <w:numPr>
          <w:ilvl w:val="0"/>
          <w:numId w:val="5"/>
        </w:numPr>
        <w:tabs>
          <w:tab w:val="clear" w:pos="1440"/>
          <w:tab w:val="left" w:pos="864"/>
        </w:tabs>
        <w:spacing w:after="0" w:line="320" w:lineRule="atLeast"/>
        <w:ind w:left="851" w:hanging="420"/>
        <w:rPr>
          <w:sz w:val="24"/>
        </w:rPr>
      </w:pPr>
      <w:r w:rsidRPr="00990442">
        <w:rPr>
          <w:sz w:val="24"/>
        </w:rPr>
        <w:t>ngay lập tức</w:t>
      </w:r>
    </w:p>
    <w:p w:rsidR="0075020E" w:rsidRPr="00990442" w:rsidRDefault="0075020E" w:rsidP="00990442">
      <w:pPr>
        <w:numPr>
          <w:ilvl w:val="0"/>
          <w:numId w:val="6"/>
        </w:numPr>
        <w:tabs>
          <w:tab w:val="clear" w:pos="2160"/>
          <w:tab w:val="num" w:pos="1440"/>
        </w:tabs>
        <w:spacing w:after="0" w:line="320" w:lineRule="atLeast"/>
        <w:ind w:left="1440" w:hanging="576"/>
        <w:rPr>
          <w:sz w:val="24"/>
        </w:rPr>
      </w:pPr>
      <w:r w:rsidRPr="00990442">
        <w:rPr>
          <w:sz w:val="24"/>
        </w:rPr>
        <w:t>Tiến hành các biện pháp nhằm hạn chế tổn thất hay thiệt hại tới mức thấp nhất và phục hồi những tài sản bị mất mát;</w:t>
      </w:r>
    </w:p>
    <w:p w:rsidR="0075020E" w:rsidRPr="00990442" w:rsidRDefault="0075020E" w:rsidP="00990442">
      <w:pPr>
        <w:numPr>
          <w:ilvl w:val="0"/>
          <w:numId w:val="6"/>
        </w:numPr>
        <w:tabs>
          <w:tab w:val="clear" w:pos="2160"/>
          <w:tab w:val="num" w:pos="1440"/>
        </w:tabs>
        <w:spacing w:after="0" w:line="320" w:lineRule="atLeast"/>
        <w:ind w:left="1440" w:hanging="576"/>
        <w:rPr>
          <w:sz w:val="24"/>
        </w:rPr>
      </w:pPr>
      <w:r w:rsidRPr="00990442">
        <w:rPr>
          <w:sz w:val="24"/>
        </w:rPr>
        <w:t xml:space="preserve">thông báo bằng văn bản cho PJICO và </w:t>
      </w:r>
    </w:p>
    <w:p w:rsidR="0075020E" w:rsidRPr="00990442" w:rsidRDefault="0075020E" w:rsidP="00990442">
      <w:pPr>
        <w:numPr>
          <w:ilvl w:val="0"/>
          <w:numId w:val="6"/>
        </w:numPr>
        <w:tabs>
          <w:tab w:val="clear" w:pos="2160"/>
          <w:tab w:val="num" w:pos="1440"/>
        </w:tabs>
        <w:spacing w:after="0" w:line="320" w:lineRule="atLeast"/>
        <w:ind w:left="1440" w:hanging="576"/>
        <w:rPr>
          <w:sz w:val="24"/>
        </w:rPr>
      </w:pPr>
      <w:r w:rsidRPr="00990442">
        <w:rPr>
          <w:sz w:val="24"/>
        </w:rPr>
        <w:t>thông báo cho công an biết trong trường hợp có trộm cắp hay nghi ngờ là đã xảy ra trộm cắp hay các hành động ác ý;</w:t>
      </w:r>
    </w:p>
    <w:p w:rsidR="0075020E" w:rsidRPr="00990442" w:rsidRDefault="0075020E" w:rsidP="00990442">
      <w:pPr>
        <w:numPr>
          <w:ilvl w:val="0"/>
          <w:numId w:val="5"/>
        </w:numPr>
        <w:tabs>
          <w:tab w:val="clear" w:pos="1440"/>
          <w:tab w:val="left" w:pos="900"/>
        </w:tabs>
        <w:spacing w:after="0" w:line="320" w:lineRule="atLeast"/>
        <w:ind w:left="902" w:hanging="471"/>
        <w:rPr>
          <w:sz w:val="24"/>
        </w:rPr>
      </w:pPr>
      <w:r w:rsidRPr="00990442">
        <w:rPr>
          <w:sz w:val="24"/>
        </w:rPr>
        <w:t>trong vòng 30 (ba mươi) ngày hoặc lâu hơn nếu được PJICO đồng ý bằng văn bản, Người được bảo hiểm phải chuyển giao những tài liệu sau đây cho PJICO.</w:t>
      </w:r>
    </w:p>
    <w:p w:rsidR="0075020E" w:rsidRPr="00990442" w:rsidRDefault="0075020E" w:rsidP="00990442">
      <w:pPr>
        <w:numPr>
          <w:ilvl w:val="0"/>
          <w:numId w:val="7"/>
        </w:numPr>
        <w:tabs>
          <w:tab w:val="clear" w:pos="2160"/>
          <w:tab w:val="num" w:pos="1440"/>
        </w:tabs>
        <w:spacing w:after="0" w:line="320" w:lineRule="atLeast"/>
        <w:ind w:left="1440" w:hanging="578"/>
        <w:rPr>
          <w:sz w:val="24"/>
        </w:rPr>
      </w:pPr>
      <w:r w:rsidRPr="00990442">
        <w:rPr>
          <w:sz w:val="24"/>
        </w:rPr>
        <w:t>Hồ sơ khiếu nại đòi bồi thường tài sản bị tổn thất hay thiệt hại trong đó liệt kê chi tiết tất cả các hạng mục tài sản bị tổn thất hay thiệt hại và số tiền tổn thất hay thiệt hại của các tài sản đó căn cứ vào giá trị của tài sản tại thời điểm xảy ra tổn thất hay thiệt hại;</w:t>
      </w:r>
    </w:p>
    <w:p w:rsidR="0075020E" w:rsidRPr="00990442" w:rsidRDefault="0075020E" w:rsidP="00990442">
      <w:pPr>
        <w:numPr>
          <w:ilvl w:val="0"/>
          <w:numId w:val="7"/>
        </w:numPr>
        <w:tabs>
          <w:tab w:val="clear" w:pos="2160"/>
          <w:tab w:val="num" w:pos="1440"/>
        </w:tabs>
        <w:spacing w:after="0" w:line="320" w:lineRule="atLeast"/>
        <w:ind w:left="1440" w:hanging="578"/>
        <w:rPr>
          <w:sz w:val="24"/>
        </w:rPr>
      </w:pPr>
      <w:r w:rsidRPr="00990442">
        <w:rPr>
          <w:sz w:val="24"/>
        </w:rPr>
        <w:t>thông tin chi tiết về các hợp đồng bảo hiểm khác, nếu có.</w:t>
      </w:r>
    </w:p>
    <w:p w:rsidR="0075020E" w:rsidRPr="00990442" w:rsidRDefault="0075020E" w:rsidP="00990442">
      <w:pPr>
        <w:spacing w:after="0" w:line="320" w:lineRule="atLeast"/>
        <w:ind w:left="878" w:right="-187"/>
        <w:rPr>
          <w:rFonts w:eastAsia="Times New Roman"/>
          <w:sz w:val="24"/>
        </w:rPr>
      </w:pPr>
      <w:r w:rsidRPr="00990442">
        <w:rPr>
          <w:sz w:val="24"/>
        </w:rPr>
        <w:t>Vào mọi thời điểm, Người được bảo hiểm bằng chi phí của m</w:t>
      </w:r>
      <w:r w:rsidRPr="00990442">
        <w:rPr>
          <w:rFonts w:eastAsia="Times New Roman"/>
          <w:sz w:val="24"/>
        </w:rPr>
        <w:t>ình phải cung cấp và gửi cho PJICO thêm mọi thông tin chi tiết khác, những s</w:t>
      </w:r>
      <w:r w:rsidRPr="00990442">
        <w:rPr>
          <w:sz w:val="24"/>
        </w:rPr>
        <w:t>ơ đồ, số liệu kỹ thuật, sổ sách, hóa đơn, biên lai, bản sao các chứng từ đó, những bằng chứng và thông tin liên quan đến khiếu nại đó cũng như nguồ</w:t>
      </w:r>
      <w:r w:rsidRPr="00990442">
        <w:rPr>
          <w:rFonts w:eastAsia="Times New Roman"/>
          <w:sz w:val="24"/>
        </w:rPr>
        <w:t xml:space="preserve">n gốc và nguyên nhân của tổn thất hoặc thiệt hại và tình huống mà tổn thất xảy ra và bất kỳ vấn </w:t>
      </w:r>
      <w:r w:rsidRPr="00990442">
        <w:rPr>
          <w:sz w:val="24"/>
        </w:rPr>
        <w:t>đề nào liên quan đến trách nhiệm hoặc hạn mức trách nhiệm của mà PJICO hay đại diện của PJICO có thể yêu cầu một cách hợp l</w:t>
      </w:r>
      <w:r w:rsidRPr="00990442">
        <w:rPr>
          <w:rFonts w:eastAsia="Times New Roman"/>
          <w:sz w:val="24"/>
        </w:rPr>
        <w:t xml:space="preserve">ý  cùng với bản cam </w:t>
      </w:r>
      <w:r w:rsidRPr="00990442">
        <w:rPr>
          <w:sz w:val="24"/>
        </w:rPr>
        <w:t>đoan hoặc văn bản có tính pháp lý khác cam kết về tính trung thực của khiếu nại đó và bất kỳ vấn đề nào có liên quan đến khiếu nại đó.</w:t>
      </w:r>
    </w:p>
    <w:p w:rsidR="0075020E" w:rsidRPr="00990442" w:rsidRDefault="0075020E" w:rsidP="00990442">
      <w:pPr>
        <w:numPr>
          <w:ilvl w:val="0"/>
          <w:numId w:val="3"/>
        </w:numPr>
        <w:tabs>
          <w:tab w:val="clear" w:pos="720"/>
          <w:tab w:val="num" w:pos="450"/>
        </w:tabs>
        <w:spacing w:before="240" w:after="240" w:line="320" w:lineRule="atLeast"/>
        <w:ind w:left="446" w:hanging="446"/>
        <w:rPr>
          <w:b/>
          <w:bCs/>
          <w:iCs/>
          <w:sz w:val="24"/>
        </w:rPr>
      </w:pPr>
      <w:r w:rsidRPr="00990442">
        <w:rPr>
          <w:b/>
          <w:bCs/>
          <w:iCs/>
          <w:sz w:val="24"/>
        </w:rPr>
        <w:t xml:space="preserve">     QUYỀN HẠN CỦA PJICO</w:t>
      </w:r>
    </w:p>
    <w:p w:rsidR="0075020E" w:rsidRPr="00990442" w:rsidRDefault="0075020E" w:rsidP="00990442">
      <w:pPr>
        <w:tabs>
          <w:tab w:val="left" w:pos="432"/>
        </w:tabs>
        <w:spacing w:after="0" w:line="320" w:lineRule="atLeast"/>
        <w:ind w:left="432"/>
        <w:rPr>
          <w:sz w:val="24"/>
        </w:rPr>
      </w:pPr>
      <w:r w:rsidRPr="00990442">
        <w:rPr>
          <w:sz w:val="24"/>
        </w:rPr>
        <w:t>Trong trường hợp tài sản được bảo hiểm bị tổn thất hay thiệt hại theo Quy tắc bảo hiểm này, PJICO có thể:</w:t>
      </w:r>
    </w:p>
    <w:p w:rsidR="0075020E" w:rsidRPr="00990442" w:rsidRDefault="0075020E" w:rsidP="00990442">
      <w:pPr>
        <w:numPr>
          <w:ilvl w:val="0"/>
          <w:numId w:val="8"/>
        </w:numPr>
        <w:tabs>
          <w:tab w:val="clear" w:pos="1440"/>
          <w:tab w:val="left" w:pos="851"/>
        </w:tabs>
        <w:spacing w:after="0" w:line="320" w:lineRule="atLeast"/>
        <w:ind w:left="864" w:hanging="432"/>
        <w:rPr>
          <w:sz w:val="24"/>
        </w:rPr>
      </w:pPr>
      <w:r w:rsidRPr="00990442">
        <w:rPr>
          <w:sz w:val="24"/>
        </w:rPr>
        <w:t>đến nơi xảy ra sự cố, tiếp nhận và nắm quyền trông giữ tòa nhà hay công trình nơi tổn thất hoặc thiệt hại đã xảy ra ;</w:t>
      </w:r>
    </w:p>
    <w:p w:rsidR="0075020E" w:rsidRPr="00990442" w:rsidRDefault="0075020E" w:rsidP="00990442">
      <w:pPr>
        <w:numPr>
          <w:ilvl w:val="0"/>
          <w:numId w:val="8"/>
        </w:numPr>
        <w:tabs>
          <w:tab w:val="clear" w:pos="1440"/>
          <w:tab w:val="left" w:pos="851"/>
        </w:tabs>
        <w:spacing w:after="0" w:line="320" w:lineRule="atLeast"/>
        <w:ind w:left="864" w:hanging="432"/>
        <w:rPr>
          <w:sz w:val="24"/>
        </w:rPr>
      </w:pPr>
      <w:r w:rsidRPr="00990442">
        <w:rPr>
          <w:sz w:val="24"/>
        </w:rPr>
        <w:t>thu giữ hoặc yêu cầu giao cho mình bất kỳ tài sản được bảo hiểm nào trong tòa nhà hoặc tại các khu vực đó tại thời điểm xảy ra tổn thất hoặc thiệt hại;</w:t>
      </w:r>
    </w:p>
    <w:p w:rsidR="0075020E" w:rsidRPr="00990442" w:rsidRDefault="0075020E" w:rsidP="00990442">
      <w:pPr>
        <w:numPr>
          <w:ilvl w:val="0"/>
          <w:numId w:val="8"/>
        </w:numPr>
        <w:tabs>
          <w:tab w:val="clear" w:pos="1440"/>
          <w:tab w:val="left" w:pos="851"/>
        </w:tabs>
        <w:spacing w:after="0" w:line="320" w:lineRule="atLeast"/>
        <w:ind w:left="864" w:hanging="432"/>
        <w:rPr>
          <w:sz w:val="24"/>
        </w:rPr>
      </w:pPr>
      <w:r w:rsidRPr="00990442">
        <w:rPr>
          <w:sz w:val="24"/>
        </w:rPr>
        <w:t>nắm quyền trông giữ đối với bất kỳ tài sản nào như đề cập ở trên và kiểm tra, phân loại, sắp xếp, di chuyển hoặc thực hiện các biện pháp xử lý nào khác đối với tài sản đó;</w:t>
      </w:r>
    </w:p>
    <w:p w:rsidR="0075020E" w:rsidRPr="00990442" w:rsidRDefault="0075020E" w:rsidP="00990442">
      <w:pPr>
        <w:numPr>
          <w:ilvl w:val="0"/>
          <w:numId w:val="8"/>
        </w:numPr>
        <w:tabs>
          <w:tab w:val="clear" w:pos="1440"/>
          <w:tab w:val="left" w:pos="851"/>
        </w:tabs>
        <w:spacing w:after="0" w:line="320" w:lineRule="atLeast"/>
        <w:ind w:left="851" w:hanging="425"/>
        <w:rPr>
          <w:sz w:val="24"/>
        </w:rPr>
      </w:pPr>
      <w:r w:rsidRPr="00990442">
        <w:rPr>
          <w:sz w:val="24"/>
        </w:rPr>
        <w:t>bán bất kỳ tài sản nào trong số đó hoặc giao tài sản đó cho bên có liên quan.</w:t>
      </w:r>
    </w:p>
    <w:p w:rsidR="0075020E" w:rsidRPr="00990442" w:rsidRDefault="0075020E" w:rsidP="00990442">
      <w:pPr>
        <w:tabs>
          <w:tab w:val="left" w:pos="432"/>
        </w:tabs>
        <w:spacing w:after="0" w:line="320" w:lineRule="atLeast"/>
        <w:ind w:left="431"/>
        <w:rPr>
          <w:sz w:val="24"/>
        </w:rPr>
      </w:pPr>
      <w:r w:rsidRPr="00990442">
        <w:rPr>
          <w:sz w:val="24"/>
        </w:rPr>
        <w:t xml:space="preserve">Các quyền theo Điều kiện này có thể được PJICO thực hiện vào bất cứ thời điểm nào  cho đến khi Người được bảo hiểm thông báo bằng văn bản cho PJICO xác nhận sẽ không đòi bồi thường theo Quy tắc bảo hiểm này, hoặc trong trường hợp có khiếu nại đến khi có quyết định cuối cùng hoặc khi khiếu nại bồi thường được rút lại và PJICO trong khi thực hiện quyền hạn này sẽ không làm phát sinh trách nhiệm đối với Người được bảo hiểm hoặc không bị giảm trừ quyền hạn của mình dựa theo các điều kiện của Quy tắc bảo hiểm này trong việc giải quyết bất kỳ khiếu nại nào.   </w:t>
      </w:r>
    </w:p>
    <w:p w:rsidR="0075020E" w:rsidRPr="00990442" w:rsidRDefault="0075020E" w:rsidP="00990442">
      <w:pPr>
        <w:tabs>
          <w:tab w:val="left" w:pos="432"/>
        </w:tabs>
        <w:spacing w:after="0" w:line="320" w:lineRule="atLeast"/>
        <w:ind w:left="431"/>
        <w:rPr>
          <w:sz w:val="24"/>
        </w:rPr>
      </w:pPr>
      <w:r w:rsidRPr="00990442">
        <w:rPr>
          <w:sz w:val="24"/>
        </w:rPr>
        <w:t>Nếu Người được bảo hiểm hay bất kỳ người nào đại diện cho Người được bảo hiểm không tuân theo những yêu cầu của PJICO hay gây cản trở PJICO trong việc thi hành hiệu lực của điều khoản này thì quyền lợi của Người được bảo hiểm theo Quy tắc bảo hiểm này sẽ bị bãi bỏ.</w:t>
      </w:r>
    </w:p>
    <w:p w:rsidR="0075020E" w:rsidRPr="00990442" w:rsidRDefault="0075020E" w:rsidP="00990442">
      <w:pPr>
        <w:tabs>
          <w:tab w:val="left" w:pos="432"/>
        </w:tabs>
        <w:spacing w:after="0" w:line="320" w:lineRule="atLeast"/>
        <w:ind w:left="432"/>
        <w:rPr>
          <w:sz w:val="24"/>
        </w:rPr>
      </w:pPr>
      <w:r w:rsidRPr="00990442">
        <w:rPr>
          <w:sz w:val="24"/>
        </w:rPr>
        <w:t>Trong bất kỳ trường hợp nào, Người được bảo hiểm không có quyền từ bỏ tài sản của mình cho PJICO cho dù tài sản đó đang được PJICO giữ quyền sở hữu hay không.</w:t>
      </w:r>
    </w:p>
    <w:p w:rsidR="0075020E" w:rsidRPr="00990442" w:rsidRDefault="0075020E" w:rsidP="00990442">
      <w:pPr>
        <w:numPr>
          <w:ilvl w:val="0"/>
          <w:numId w:val="3"/>
        </w:numPr>
        <w:tabs>
          <w:tab w:val="clear" w:pos="720"/>
          <w:tab w:val="num" w:pos="450"/>
        </w:tabs>
        <w:spacing w:before="240" w:after="240" w:line="320" w:lineRule="atLeast"/>
        <w:ind w:left="446" w:hanging="446"/>
        <w:rPr>
          <w:b/>
          <w:bCs/>
          <w:iCs/>
          <w:sz w:val="24"/>
        </w:rPr>
      </w:pPr>
      <w:r w:rsidRPr="00990442">
        <w:rPr>
          <w:b/>
          <w:bCs/>
          <w:iCs/>
          <w:sz w:val="24"/>
        </w:rPr>
        <w:t xml:space="preserve">SỬA CHỮA VÀ THAY THẾ </w:t>
      </w:r>
    </w:p>
    <w:p w:rsidR="0075020E" w:rsidRPr="00990442" w:rsidRDefault="0075020E" w:rsidP="00990442">
      <w:pPr>
        <w:tabs>
          <w:tab w:val="left" w:pos="432"/>
        </w:tabs>
        <w:spacing w:after="0" w:line="320" w:lineRule="atLeast"/>
        <w:ind w:left="432"/>
        <w:rPr>
          <w:sz w:val="24"/>
        </w:rPr>
      </w:pPr>
      <w:r w:rsidRPr="00990442">
        <w:rPr>
          <w:sz w:val="24"/>
        </w:rPr>
        <w:t xml:space="preserve">Tùy theo sự lựa chọn của mình, PJICO có thể sửa chữa hoặc thay thế toàn bộ hay một phần của tài sản bị thiệt hại hay bị phá huỷ thay cho việc trả số tiền của tổn thất hoặc có thể cộng tác với các công ty bảo hiểm khác hoặc cùng với Người được bảo hiểm để thực hiện những việc đó. Tuy nhiên, PJICO sẽ không buộc phải sửa chữa tài sản một cách  hoàn toàn chính xác như cũ mà chỉ với một mức độ hợp lý mà hoàn cảnh thực tế cho phép và trong bất kỳ trường hợp nào PJICO sẽ không chi cho việc sửa chữa một số tiền lớn hơn số chi phí cần thiết để khôi phục tài sản trở lại tình trạng trước lúc xảy ra tổn thất hoặc lớn hơn số tiền bảo hiểm của tài sản đó. </w:t>
      </w:r>
    </w:p>
    <w:p w:rsidR="0075020E" w:rsidRPr="00990442" w:rsidRDefault="0075020E" w:rsidP="00990442">
      <w:pPr>
        <w:spacing w:after="0" w:line="320" w:lineRule="atLeast"/>
        <w:ind w:left="446"/>
        <w:rPr>
          <w:sz w:val="24"/>
        </w:rPr>
      </w:pPr>
      <w:r w:rsidRPr="00990442">
        <w:rPr>
          <w:sz w:val="24"/>
        </w:rPr>
        <w:t>Nếu PJICO chọn phương án sửa chữa hoặc thay thế tài sản bị tổn thất thì Người được bảo hiểm bằng chi phí của mình phải cung cấp cho PJICO các bản vẽ, đặc điểm kỹ thuật, khối lượng, kích thước và các thông tin chi tiết khác theo yêu cầu của PJICO và bất kỳ hành động nào đã được PJICO thực hiện hoặc đã được thực hiện theo yêu cầu của PJICO nhằm sửa chữa hoặc thay thế cũng không được coi là PJICO đã chọn việc sửa chữa hay thay thế đó.</w:t>
      </w:r>
    </w:p>
    <w:p w:rsidR="0075020E" w:rsidRPr="00990442" w:rsidRDefault="0075020E" w:rsidP="00990442">
      <w:pPr>
        <w:spacing w:after="0" w:line="320" w:lineRule="atLeast"/>
        <w:ind w:left="450"/>
        <w:rPr>
          <w:color w:val="000000"/>
          <w:sz w:val="24"/>
        </w:rPr>
      </w:pPr>
      <w:r w:rsidRPr="00990442">
        <w:rPr>
          <w:color w:val="000000"/>
          <w:sz w:val="24"/>
        </w:rPr>
        <w:t>Trong bất kỳ trường hợp nào, nếu PJICO không thể thực hiện được việc thay thế hay sửa chữa tài sản được bảo hiểm do có các quy định của chính quyền địa phương hay các quy định khác về cảnh quan đường phố hay các quy định về xây dựng hay các quy định khác thì PJICO chỉ có trách nhiệm thanh toán một khoản tiền tương ứng với chi phí cần thiết phải bỏ ra để thay thế hay sửa chữa tài sản đó với giả thiết nó được sửa chữa một cách hợp pháp với điều kiện như cũ.</w:t>
      </w:r>
    </w:p>
    <w:p w:rsidR="0075020E" w:rsidRPr="00990442" w:rsidRDefault="0075020E" w:rsidP="00990442">
      <w:pPr>
        <w:numPr>
          <w:ilvl w:val="0"/>
          <w:numId w:val="3"/>
        </w:numPr>
        <w:tabs>
          <w:tab w:val="clear" w:pos="720"/>
          <w:tab w:val="num" w:pos="450"/>
        </w:tabs>
        <w:spacing w:before="240" w:after="240" w:line="320" w:lineRule="atLeast"/>
        <w:ind w:left="446" w:hanging="446"/>
        <w:rPr>
          <w:b/>
          <w:bCs/>
          <w:iCs/>
          <w:sz w:val="24"/>
        </w:rPr>
      </w:pPr>
      <w:r w:rsidRPr="00990442">
        <w:rPr>
          <w:b/>
          <w:bCs/>
          <w:iCs/>
          <w:sz w:val="24"/>
        </w:rPr>
        <w:t>GIỚI HẠN THỜI GIAN</w:t>
      </w:r>
    </w:p>
    <w:p w:rsidR="0075020E" w:rsidRPr="00990442" w:rsidRDefault="0075020E" w:rsidP="00990442">
      <w:pPr>
        <w:tabs>
          <w:tab w:val="left" w:pos="432"/>
        </w:tabs>
        <w:spacing w:after="0" w:line="320" w:lineRule="atLeast"/>
        <w:ind w:left="432"/>
        <w:rPr>
          <w:sz w:val="24"/>
        </w:rPr>
      </w:pPr>
      <w:r w:rsidRPr="00990442">
        <w:rPr>
          <w:sz w:val="24"/>
        </w:rPr>
        <w:t>Trong bất kỳ trường hợp nào, PJICO cũng không có trách nhiệm đối với bất kỳ tổn thất hay thiệt hại nào sau một thời hạn là 12 tháng kể từ khi xảy ra tổn thất, trừ khi khiếu nại đó là đối tượng của việc kiện tụng chưa được giải quyết hoặc đã được chuyển cho trọng tài nhưng chưa được phân xử xong.</w:t>
      </w:r>
    </w:p>
    <w:p w:rsidR="0075020E" w:rsidRPr="00990442" w:rsidRDefault="0075020E" w:rsidP="00990442">
      <w:pPr>
        <w:numPr>
          <w:ilvl w:val="0"/>
          <w:numId w:val="3"/>
        </w:numPr>
        <w:tabs>
          <w:tab w:val="clear" w:pos="720"/>
          <w:tab w:val="num" w:pos="450"/>
        </w:tabs>
        <w:spacing w:before="240" w:after="240" w:line="320" w:lineRule="atLeast"/>
        <w:ind w:left="446" w:hanging="446"/>
        <w:rPr>
          <w:b/>
          <w:bCs/>
          <w:iCs/>
          <w:sz w:val="24"/>
        </w:rPr>
      </w:pPr>
      <w:r w:rsidRPr="00990442">
        <w:rPr>
          <w:b/>
          <w:bCs/>
          <w:iCs/>
          <w:sz w:val="24"/>
        </w:rPr>
        <w:t>CÁC BIỆN PHÁP PHÒNG NGỪA HỢP LÝ</w:t>
      </w:r>
    </w:p>
    <w:p w:rsidR="0075020E" w:rsidRPr="00990442" w:rsidRDefault="0075020E" w:rsidP="00990442">
      <w:pPr>
        <w:tabs>
          <w:tab w:val="left" w:pos="432"/>
        </w:tabs>
        <w:spacing w:after="0" w:line="320" w:lineRule="atLeast"/>
        <w:ind w:left="432"/>
        <w:rPr>
          <w:sz w:val="24"/>
        </w:rPr>
      </w:pPr>
      <w:r w:rsidRPr="00990442">
        <w:rPr>
          <w:sz w:val="24"/>
        </w:rPr>
        <w:t>Người được bảo hiểm phải giữ gìn tài sản trong tình trạng sử dụng phù hợp và tiến hành mọi biện pháp hợp lý để ngăn ngừa Thiệt hại xảy ra đối với tài sản./.</w:t>
      </w:r>
    </w:p>
    <w:p w:rsidR="0075020E" w:rsidRPr="00990442" w:rsidRDefault="0075020E" w:rsidP="00990442">
      <w:pPr>
        <w:spacing w:after="0" w:line="320" w:lineRule="atLeast"/>
        <w:rPr>
          <w:sz w:val="24"/>
        </w:rPr>
      </w:pPr>
      <w:bookmarkStart w:id="0" w:name="_GoBack"/>
      <w:bookmarkEnd w:id="0"/>
    </w:p>
    <w:sectPr w:rsidR="0075020E" w:rsidRPr="00990442" w:rsidSect="00990442">
      <w:footerReference w:type="even" r:id="rId7"/>
      <w:footerReference w:type="default" r:id="rId8"/>
      <w:pgSz w:w="11909" w:h="16834" w:code="9"/>
      <w:pgMar w:top="1138" w:right="929" w:bottom="1138" w:left="1530" w:header="619" w:footer="677" w:gutter="0"/>
      <w:pgNumType w:start="1"/>
      <w:cols w:space="709"/>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20E" w:rsidRDefault="0075020E">
      <w:pPr>
        <w:spacing w:before="0" w:after="0"/>
      </w:pPr>
      <w:r>
        <w:separator/>
      </w:r>
    </w:p>
  </w:endnote>
  <w:endnote w:type="continuationSeparator" w:id="0">
    <w:p w:rsidR="0075020E" w:rsidRDefault="0075020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0E" w:rsidRDefault="00750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020E" w:rsidRDefault="007502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0E" w:rsidRDefault="00750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5020E" w:rsidRDefault="0075020E">
    <w:pPr>
      <w:pStyle w:val="Footer"/>
      <w:pBdr>
        <w:top w:val="single" w:sz="4" w:space="1" w:color="auto"/>
      </w:pBdr>
      <w:tabs>
        <w:tab w:val="clear" w:pos="4320"/>
        <w:tab w:val="clear" w:pos="8640"/>
        <w:tab w:val="left" w:pos="4180"/>
        <w:tab w:val="right" w:pos="8800"/>
      </w:tabs>
      <w:spacing w:before="0" w:after="0"/>
      <w:ind w:right="360"/>
      <w:rPr>
        <w:i/>
        <w:iCs/>
        <w:sz w:val="16"/>
        <w:szCs w:val="16"/>
      </w:rPr>
    </w:pPr>
    <w:r>
      <w:rPr>
        <w:i/>
        <w:iCs/>
        <w:sz w:val="16"/>
        <w:szCs w:val="16"/>
      </w:rPr>
      <w:t>PJICO - Quy tắc BH Mọi rủi ro Tài sản</w:t>
    </w:r>
    <w:r>
      <w:rPr>
        <w:i/>
        <w:iCs/>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20E" w:rsidRDefault="0075020E">
      <w:pPr>
        <w:spacing w:before="0" w:after="0"/>
      </w:pPr>
      <w:r>
        <w:separator/>
      </w:r>
    </w:p>
  </w:footnote>
  <w:footnote w:type="continuationSeparator" w:id="0">
    <w:p w:rsidR="0075020E" w:rsidRDefault="0075020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73D3"/>
    <w:multiLevelType w:val="singleLevel"/>
    <w:tmpl w:val="F904B2E4"/>
    <w:lvl w:ilvl="0">
      <w:start w:val="1"/>
      <w:numFmt w:val="decimal"/>
      <w:lvlText w:val="%1."/>
      <w:lvlJc w:val="left"/>
      <w:pPr>
        <w:tabs>
          <w:tab w:val="num" w:pos="720"/>
        </w:tabs>
        <w:ind w:left="720" w:hanging="720"/>
      </w:pPr>
      <w:rPr>
        <w:rFonts w:cs="Times New Roman" w:hint="default"/>
        <w:b/>
      </w:rPr>
    </w:lvl>
  </w:abstractNum>
  <w:abstractNum w:abstractNumId="1">
    <w:nsid w:val="2AA23F28"/>
    <w:multiLevelType w:val="singleLevel"/>
    <w:tmpl w:val="65000726"/>
    <w:lvl w:ilvl="0">
      <w:start w:val="1"/>
      <w:numFmt w:val="lowerLetter"/>
      <w:lvlText w:val="(%1)"/>
      <w:lvlJc w:val="left"/>
      <w:pPr>
        <w:tabs>
          <w:tab w:val="num" w:pos="1440"/>
        </w:tabs>
        <w:ind w:left="1440" w:hanging="720"/>
      </w:pPr>
      <w:rPr>
        <w:rFonts w:cs="Times New Roman" w:hint="default"/>
      </w:rPr>
    </w:lvl>
  </w:abstractNum>
  <w:abstractNum w:abstractNumId="2">
    <w:nsid w:val="3757340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46516351"/>
    <w:multiLevelType w:val="singleLevel"/>
    <w:tmpl w:val="F17EF812"/>
    <w:lvl w:ilvl="0">
      <w:start w:val="1"/>
      <w:numFmt w:val="lowerRoman"/>
      <w:lvlText w:val="(%1)"/>
      <w:lvlJc w:val="left"/>
      <w:pPr>
        <w:tabs>
          <w:tab w:val="num" w:pos="2160"/>
        </w:tabs>
        <w:ind w:left="2160" w:hanging="720"/>
      </w:pPr>
      <w:rPr>
        <w:rFonts w:cs="Times New Roman" w:hint="default"/>
      </w:rPr>
    </w:lvl>
  </w:abstractNum>
  <w:abstractNum w:abstractNumId="4">
    <w:nsid w:val="527C346B"/>
    <w:multiLevelType w:val="singleLevel"/>
    <w:tmpl w:val="4CD27ACC"/>
    <w:lvl w:ilvl="0">
      <w:start w:val="1"/>
      <w:numFmt w:val="lowerLetter"/>
      <w:lvlText w:val="(%1)"/>
      <w:lvlJc w:val="left"/>
      <w:pPr>
        <w:tabs>
          <w:tab w:val="num" w:pos="1440"/>
        </w:tabs>
        <w:ind w:left="1440" w:hanging="720"/>
      </w:pPr>
      <w:rPr>
        <w:rFonts w:cs="Times New Roman" w:hint="default"/>
      </w:rPr>
    </w:lvl>
  </w:abstractNum>
  <w:abstractNum w:abstractNumId="5">
    <w:nsid w:val="6996639E"/>
    <w:multiLevelType w:val="singleLevel"/>
    <w:tmpl w:val="BD8C1C26"/>
    <w:lvl w:ilvl="0">
      <w:start w:val="1"/>
      <w:numFmt w:val="lowerLetter"/>
      <w:lvlText w:val="(%1)"/>
      <w:lvlJc w:val="left"/>
      <w:pPr>
        <w:tabs>
          <w:tab w:val="num" w:pos="1440"/>
        </w:tabs>
        <w:ind w:left="1440" w:hanging="720"/>
      </w:pPr>
      <w:rPr>
        <w:rFonts w:cs="Times New Roman" w:hint="default"/>
      </w:rPr>
    </w:lvl>
  </w:abstractNum>
  <w:abstractNum w:abstractNumId="6">
    <w:nsid w:val="6F333E62"/>
    <w:multiLevelType w:val="hybridMultilevel"/>
    <w:tmpl w:val="F2AC40CC"/>
    <w:lvl w:ilvl="0" w:tplc="0409000F">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72D06168"/>
    <w:multiLevelType w:val="singleLevel"/>
    <w:tmpl w:val="48EC181E"/>
    <w:lvl w:ilvl="0">
      <w:start w:val="1"/>
      <w:numFmt w:val="lowerRoman"/>
      <w:lvlText w:val="(%1)"/>
      <w:lvlJc w:val="left"/>
      <w:pPr>
        <w:tabs>
          <w:tab w:val="num" w:pos="720"/>
        </w:tabs>
        <w:ind w:left="432" w:hanging="432"/>
      </w:pPr>
      <w:rPr>
        <w:rFonts w:cs="Times New Roman"/>
      </w:rPr>
    </w:lvl>
  </w:abstractNum>
  <w:abstractNum w:abstractNumId="8">
    <w:nsid w:val="7E304EE5"/>
    <w:multiLevelType w:val="hybridMultilevel"/>
    <w:tmpl w:val="01F8EAA2"/>
    <w:lvl w:ilvl="0" w:tplc="04090017">
      <w:start w:val="1"/>
      <w:numFmt w:val="lowerLetter"/>
      <w:lvlText w:val="%1)"/>
      <w:lvlJc w:val="left"/>
      <w:pPr>
        <w:tabs>
          <w:tab w:val="num" w:pos="720"/>
        </w:tabs>
        <w:ind w:left="720" w:hanging="360"/>
      </w:pPr>
      <w:rPr>
        <w:rFonts w:cs="Times New Roman"/>
      </w:rPr>
    </w:lvl>
    <w:lvl w:ilvl="1" w:tplc="0B88B802">
      <w:start w:val="9"/>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EFC6557"/>
    <w:multiLevelType w:val="singleLevel"/>
    <w:tmpl w:val="AC92D860"/>
    <w:lvl w:ilvl="0">
      <w:start w:val="1"/>
      <w:numFmt w:val="lowerRoman"/>
      <w:lvlText w:val="(%1)"/>
      <w:lvlJc w:val="left"/>
      <w:pPr>
        <w:tabs>
          <w:tab w:val="num" w:pos="2160"/>
        </w:tabs>
        <w:ind w:left="2160" w:hanging="720"/>
      </w:pPr>
      <w:rPr>
        <w:rFonts w:cs="Times New Roman" w:hint="default"/>
      </w:rPr>
    </w:lvl>
  </w:abstractNum>
  <w:num w:numId="1">
    <w:abstractNumId w:val="7"/>
  </w:num>
  <w:num w:numId="2">
    <w:abstractNumId w:val="2"/>
  </w:num>
  <w:num w:numId="3">
    <w:abstractNumId w:val="0"/>
  </w:num>
  <w:num w:numId="4">
    <w:abstractNumId w:val="4"/>
  </w:num>
  <w:num w:numId="5">
    <w:abstractNumId w:val="5"/>
  </w:num>
  <w:num w:numId="6">
    <w:abstractNumId w:val="9"/>
  </w:num>
  <w:num w:numId="7">
    <w:abstractNumId w:val="3"/>
  </w:num>
  <w:num w:numId="8">
    <w:abstractNumId w:val="1"/>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70E"/>
    <w:rsid w:val="00040756"/>
    <w:rsid w:val="00062A27"/>
    <w:rsid w:val="000C1B18"/>
    <w:rsid w:val="00437D8D"/>
    <w:rsid w:val="006146DD"/>
    <w:rsid w:val="0075020E"/>
    <w:rsid w:val="007E28EB"/>
    <w:rsid w:val="00853551"/>
    <w:rsid w:val="00894566"/>
    <w:rsid w:val="00936C6D"/>
    <w:rsid w:val="00990442"/>
    <w:rsid w:val="00C4070E"/>
    <w:rsid w:val="00C540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B18"/>
    <w:pPr>
      <w:spacing w:before="120" w:after="120"/>
      <w:jc w:val="both"/>
    </w:pPr>
    <w:rPr>
      <w:rFonts w:ascii="Times New Roman" w:eastAsia="PMingLiU" w:hAnsi="Times New Roman"/>
      <w:szCs w:val="24"/>
      <w:lang w:eastAsia="zh-TW"/>
    </w:rPr>
  </w:style>
  <w:style w:type="paragraph" w:styleId="Heading1">
    <w:name w:val="heading 1"/>
    <w:basedOn w:val="Normal"/>
    <w:next w:val="Normal"/>
    <w:link w:val="Heading1Char"/>
    <w:uiPriority w:val="99"/>
    <w:qFormat/>
    <w:rsid w:val="000C1B18"/>
    <w:pPr>
      <w:keepNext/>
      <w:spacing w:before="480"/>
      <w:outlineLvl w:val="0"/>
    </w:pPr>
    <w:rPr>
      <w:b/>
      <w:bCs/>
      <w:caps/>
      <w:sz w:val="24"/>
      <w:lang w:val="en-GB"/>
    </w:rPr>
  </w:style>
  <w:style w:type="paragraph" w:styleId="Heading2">
    <w:name w:val="heading 2"/>
    <w:basedOn w:val="Normal"/>
    <w:next w:val="Normal"/>
    <w:link w:val="Heading2Char"/>
    <w:uiPriority w:val="99"/>
    <w:qFormat/>
    <w:rsid w:val="000C1B18"/>
    <w:pPr>
      <w:keepNext/>
      <w:jc w:val="left"/>
      <w:outlineLvl w:val="1"/>
    </w:pPr>
    <w:rPr>
      <w:b/>
      <w:i/>
      <w:szCs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1B18"/>
    <w:rPr>
      <w:rFonts w:ascii="Times New Roman" w:eastAsia="PMingLiU" w:hAnsi="Times New Roman" w:cs="Times New Roman"/>
      <w:b/>
      <w:bCs/>
      <w:caps/>
      <w:sz w:val="24"/>
      <w:szCs w:val="24"/>
      <w:lang w:val="en-GB" w:eastAsia="zh-TW"/>
    </w:rPr>
  </w:style>
  <w:style w:type="character" w:customStyle="1" w:styleId="Heading2Char">
    <w:name w:val="Heading 2 Char"/>
    <w:basedOn w:val="DefaultParagraphFont"/>
    <w:link w:val="Heading2"/>
    <w:uiPriority w:val="99"/>
    <w:locked/>
    <w:rsid w:val="000C1B18"/>
    <w:rPr>
      <w:rFonts w:ascii="Times New Roman" w:eastAsia="PMingLiU" w:hAnsi="Times New Roman" w:cs="Times New Roman"/>
      <w:b/>
      <w:i/>
      <w:u w:val="single"/>
      <w:lang w:val="en-US" w:eastAsia="zh-TW"/>
    </w:rPr>
  </w:style>
  <w:style w:type="paragraph" w:styleId="BodyTextIndent">
    <w:name w:val="Body Text Indent"/>
    <w:basedOn w:val="Normal"/>
    <w:link w:val="BodyTextIndentChar"/>
    <w:uiPriority w:val="99"/>
    <w:rsid w:val="000C1B18"/>
    <w:pPr>
      <w:spacing w:before="60" w:after="60"/>
    </w:pPr>
    <w:rPr>
      <w:rFonts w:ascii="Helvetica" w:hAnsi="Helvetica" w:cs="Helvetica"/>
    </w:rPr>
  </w:style>
  <w:style w:type="character" w:customStyle="1" w:styleId="BodyTextIndentChar">
    <w:name w:val="Body Text Indent Char"/>
    <w:basedOn w:val="DefaultParagraphFont"/>
    <w:link w:val="BodyTextIndent"/>
    <w:uiPriority w:val="99"/>
    <w:locked/>
    <w:rsid w:val="000C1B18"/>
    <w:rPr>
      <w:rFonts w:ascii="Helvetica" w:eastAsia="PMingLiU" w:hAnsi="Helvetica" w:cs="Helvetica"/>
      <w:sz w:val="24"/>
      <w:szCs w:val="24"/>
      <w:lang w:val="en-US" w:eastAsia="zh-TW"/>
    </w:rPr>
  </w:style>
  <w:style w:type="paragraph" w:styleId="Title">
    <w:name w:val="Title"/>
    <w:basedOn w:val="Normal"/>
    <w:link w:val="TitleChar"/>
    <w:uiPriority w:val="99"/>
    <w:qFormat/>
    <w:rsid w:val="000C1B18"/>
    <w:pPr>
      <w:jc w:val="center"/>
    </w:pPr>
    <w:rPr>
      <w:b/>
      <w:bCs/>
      <w:szCs w:val="22"/>
    </w:rPr>
  </w:style>
  <w:style w:type="character" w:customStyle="1" w:styleId="TitleChar">
    <w:name w:val="Title Char"/>
    <w:basedOn w:val="DefaultParagraphFont"/>
    <w:link w:val="Title"/>
    <w:uiPriority w:val="99"/>
    <w:locked/>
    <w:rsid w:val="000C1B18"/>
    <w:rPr>
      <w:rFonts w:ascii="Times New Roman" w:eastAsia="PMingLiU" w:hAnsi="Times New Roman" w:cs="Times New Roman"/>
      <w:b/>
      <w:bCs/>
      <w:lang w:val="en-US" w:eastAsia="zh-TW"/>
    </w:rPr>
  </w:style>
  <w:style w:type="paragraph" w:styleId="BodyTextIndent3">
    <w:name w:val="Body Text Indent 3"/>
    <w:basedOn w:val="Normal"/>
    <w:link w:val="BodyTextIndent3Char"/>
    <w:uiPriority w:val="99"/>
    <w:rsid w:val="000C1B18"/>
    <w:pPr>
      <w:tabs>
        <w:tab w:val="left" w:pos="432"/>
        <w:tab w:val="left" w:pos="864"/>
      </w:tabs>
      <w:ind w:left="1440" w:hanging="1440"/>
    </w:pPr>
    <w:rPr>
      <w:szCs w:val="22"/>
    </w:rPr>
  </w:style>
  <w:style w:type="character" w:customStyle="1" w:styleId="BodyTextIndent3Char">
    <w:name w:val="Body Text Indent 3 Char"/>
    <w:basedOn w:val="DefaultParagraphFont"/>
    <w:link w:val="BodyTextIndent3"/>
    <w:uiPriority w:val="99"/>
    <w:locked/>
    <w:rsid w:val="000C1B18"/>
    <w:rPr>
      <w:rFonts w:ascii="Times New Roman" w:eastAsia="PMingLiU" w:hAnsi="Times New Roman" w:cs="Times New Roman"/>
      <w:lang w:val="en-US" w:eastAsia="zh-TW"/>
    </w:rPr>
  </w:style>
  <w:style w:type="paragraph" w:styleId="Footer">
    <w:name w:val="footer"/>
    <w:basedOn w:val="Normal"/>
    <w:link w:val="FooterChar"/>
    <w:uiPriority w:val="99"/>
    <w:rsid w:val="000C1B18"/>
    <w:pPr>
      <w:tabs>
        <w:tab w:val="center" w:pos="4320"/>
        <w:tab w:val="right" w:pos="8640"/>
      </w:tabs>
    </w:pPr>
    <w:rPr>
      <w:szCs w:val="22"/>
    </w:rPr>
  </w:style>
  <w:style w:type="character" w:customStyle="1" w:styleId="FooterChar">
    <w:name w:val="Footer Char"/>
    <w:basedOn w:val="DefaultParagraphFont"/>
    <w:link w:val="Footer"/>
    <w:uiPriority w:val="99"/>
    <w:locked/>
    <w:rsid w:val="000C1B18"/>
    <w:rPr>
      <w:rFonts w:ascii="Times New Roman" w:eastAsia="PMingLiU" w:hAnsi="Times New Roman" w:cs="Times New Roman"/>
      <w:lang w:val="en-US" w:eastAsia="zh-TW"/>
    </w:rPr>
  </w:style>
  <w:style w:type="character" w:styleId="PageNumber">
    <w:name w:val="page number"/>
    <w:basedOn w:val="DefaultParagraphFont"/>
    <w:uiPriority w:val="99"/>
    <w:rsid w:val="000C1B1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9</Pages>
  <Words>3599</Words>
  <Characters>20520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Admins</cp:lastModifiedBy>
  <cp:revision>6</cp:revision>
  <cp:lastPrinted>2016-03-17T01:30:00Z</cp:lastPrinted>
  <dcterms:created xsi:type="dcterms:W3CDTF">2015-03-02T09:35:00Z</dcterms:created>
  <dcterms:modified xsi:type="dcterms:W3CDTF">2016-03-17T01:56:00Z</dcterms:modified>
</cp:coreProperties>
</file>